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7596D" w:rsidRDefault="00904D3A">
      <w:pPr>
        <w:tabs>
          <w:tab w:val="left" w:pos="6116"/>
        </w:tabs>
        <w:spacing w:before="37"/>
        <w:ind w:left="120"/>
        <w:jc w:val="both"/>
        <w:rPr>
          <w:rFonts w:ascii="Calibri"/>
          <w:b/>
          <w:i/>
        </w:rPr>
      </w:pPr>
      <w:bookmarkStart w:id="0" w:name="Blank_EMC_Full_Project_Proposal"/>
      <w:bookmarkStart w:id="1" w:name="_GoBack"/>
      <w:bookmarkEnd w:id="0"/>
      <w:bookmarkEnd w:id="1"/>
      <w:r>
        <w:rPr>
          <w:rFonts w:ascii="Calibri"/>
          <w:b/>
          <w:i/>
        </w:rPr>
        <w:t>Full</w:t>
      </w:r>
      <w:r>
        <w:rPr>
          <w:rFonts w:ascii="Calibri"/>
          <w:b/>
          <w:i/>
          <w:spacing w:val="-2"/>
        </w:rPr>
        <w:t xml:space="preserve"> </w:t>
      </w:r>
      <w:r>
        <w:rPr>
          <w:rFonts w:ascii="Calibri"/>
          <w:b/>
          <w:i/>
        </w:rPr>
        <w:t>Project</w:t>
      </w:r>
      <w:r>
        <w:rPr>
          <w:rFonts w:ascii="Calibri"/>
          <w:b/>
          <w:i/>
          <w:spacing w:val="-5"/>
        </w:rPr>
        <w:t xml:space="preserve"> </w:t>
      </w:r>
      <w:r>
        <w:rPr>
          <w:rFonts w:ascii="Calibri"/>
          <w:b/>
          <w:i/>
        </w:rPr>
        <w:t>Proposal</w:t>
      </w:r>
      <w:r>
        <w:rPr>
          <w:rFonts w:ascii="Calibri"/>
          <w:b/>
          <w:i/>
        </w:rPr>
        <w:tab/>
        <w:t>Effectiveness Monitoring</w:t>
      </w:r>
      <w:r>
        <w:rPr>
          <w:rFonts w:ascii="Calibri"/>
          <w:b/>
          <w:i/>
          <w:spacing w:val="-10"/>
        </w:rPr>
        <w:t xml:space="preserve"> </w:t>
      </w:r>
      <w:r>
        <w:rPr>
          <w:rFonts w:ascii="Calibri"/>
          <w:b/>
          <w:i/>
        </w:rPr>
        <w:t>Committee</w:t>
      </w:r>
    </w:p>
    <w:p w:rsidR="0037596D" w:rsidRDefault="00904D3A">
      <w:pPr>
        <w:tabs>
          <w:tab w:val="left" w:pos="3663"/>
          <w:tab w:val="left" w:pos="7470"/>
        </w:tabs>
        <w:spacing w:before="180"/>
        <w:ind w:left="120"/>
        <w:jc w:val="both"/>
        <w:rPr>
          <w:rFonts w:ascii="Calibri"/>
        </w:rPr>
      </w:pPr>
      <w:r>
        <w:rPr>
          <w:rFonts w:ascii="Calibri"/>
          <w:b/>
        </w:rPr>
        <w:t>Project</w:t>
      </w:r>
      <w:r>
        <w:rPr>
          <w:rFonts w:ascii="Calibri"/>
          <w:b/>
          <w:spacing w:val="-2"/>
        </w:rPr>
        <w:t xml:space="preserve"> </w:t>
      </w:r>
      <w:r>
        <w:rPr>
          <w:rFonts w:ascii="Calibri"/>
          <w:b/>
        </w:rPr>
        <w:t>#:</w:t>
      </w:r>
      <w:r>
        <w:rPr>
          <w:rFonts w:ascii="Calibri"/>
          <w:b/>
          <w:spacing w:val="-2"/>
        </w:rPr>
        <w:t xml:space="preserve"> </w:t>
      </w:r>
      <w:r>
        <w:rPr>
          <w:rFonts w:ascii="Calibri"/>
        </w:rPr>
        <w:t>EMC-2018-006</w:t>
      </w:r>
      <w:r>
        <w:rPr>
          <w:rFonts w:ascii="Calibri"/>
        </w:rPr>
        <w:tab/>
      </w:r>
      <w:r>
        <w:rPr>
          <w:rFonts w:ascii="Calibri"/>
          <w:b/>
        </w:rPr>
        <w:t>Proposal</w:t>
      </w:r>
      <w:r>
        <w:rPr>
          <w:rFonts w:ascii="Calibri"/>
          <w:b/>
          <w:spacing w:val="-1"/>
        </w:rPr>
        <w:t xml:space="preserve"> </w:t>
      </w:r>
      <w:r>
        <w:rPr>
          <w:rFonts w:ascii="Calibri"/>
          <w:b/>
        </w:rPr>
        <w:t>Version</w:t>
      </w:r>
      <w:r>
        <w:rPr>
          <w:rFonts w:ascii="Calibri"/>
        </w:rPr>
        <w:t>#</w:t>
      </w:r>
      <w:r>
        <w:rPr>
          <w:rFonts w:ascii="Calibri"/>
          <w:spacing w:val="48"/>
        </w:rPr>
        <w:t xml:space="preserve"> </w:t>
      </w:r>
      <w:r>
        <w:rPr>
          <w:rFonts w:ascii="Calibri"/>
        </w:rPr>
        <w:t>1</w:t>
      </w:r>
      <w:r>
        <w:rPr>
          <w:rFonts w:ascii="Calibri"/>
        </w:rPr>
        <w:tab/>
      </w:r>
      <w:r>
        <w:rPr>
          <w:rFonts w:ascii="Calibri"/>
          <w:b/>
        </w:rPr>
        <w:t>Date</w:t>
      </w:r>
      <w:r>
        <w:rPr>
          <w:rFonts w:ascii="Calibri"/>
        </w:rPr>
        <w:t>:</w:t>
      </w:r>
      <w:r>
        <w:rPr>
          <w:rFonts w:ascii="Calibri"/>
          <w:spacing w:val="-5"/>
        </w:rPr>
        <w:t xml:space="preserve"> </w:t>
      </w:r>
      <w:r>
        <w:rPr>
          <w:rFonts w:ascii="Calibri"/>
        </w:rPr>
        <w:t>12/07/18</w:t>
      </w:r>
    </w:p>
    <w:p w:rsidR="0037596D" w:rsidRDefault="0037596D">
      <w:pPr>
        <w:pStyle w:val="BodyText"/>
        <w:rPr>
          <w:rFonts w:ascii="Calibri"/>
          <w:sz w:val="22"/>
        </w:rPr>
      </w:pPr>
    </w:p>
    <w:p w:rsidR="0037596D" w:rsidRDefault="0037596D">
      <w:pPr>
        <w:pStyle w:val="BodyText"/>
        <w:spacing w:before="11"/>
        <w:rPr>
          <w:rFonts w:ascii="Calibri"/>
          <w:sz w:val="29"/>
        </w:rPr>
      </w:pPr>
    </w:p>
    <w:p w:rsidR="0037596D" w:rsidRDefault="00904D3A">
      <w:pPr>
        <w:spacing w:line="259" w:lineRule="auto"/>
        <w:ind w:left="120" w:right="560"/>
        <w:jc w:val="both"/>
        <w:rPr>
          <w:rFonts w:ascii="Calibri"/>
        </w:rPr>
      </w:pPr>
      <w:r>
        <w:rPr>
          <w:rFonts w:ascii="Calibri"/>
          <w:b/>
        </w:rPr>
        <w:t xml:space="preserve">Project Title: </w:t>
      </w:r>
      <w:r>
        <w:rPr>
          <w:rFonts w:ascii="Calibri"/>
        </w:rPr>
        <w:t>Effectiveness of Class II Watercourse and Lake Protection Zone (WLPZ) Forest Practice Rules (FPRs) and Aquatic Habitat Conservation Plan (AHCP) Riparian Prescriptions at Maintaining or Restoring Canopy Closure, Stream Water Temperature, and Primary Productivity</w:t>
      </w:r>
    </w:p>
    <w:p w:rsidR="0037596D" w:rsidRDefault="00904D3A">
      <w:pPr>
        <w:spacing w:before="158"/>
        <w:ind w:left="120"/>
        <w:jc w:val="both"/>
        <w:rPr>
          <w:rFonts w:ascii="Calibri"/>
        </w:rPr>
      </w:pPr>
      <w:r>
        <w:rPr>
          <w:rFonts w:ascii="Calibri"/>
          <w:b/>
        </w:rPr>
        <w:t xml:space="preserve">Principal Investigator(s): </w:t>
      </w:r>
      <w:r>
        <w:rPr>
          <w:rFonts w:ascii="Calibri"/>
        </w:rPr>
        <w:t>Kevin Bladon, Catalina Segura, Matthew House, Drew Coe</w:t>
      </w:r>
    </w:p>
    <w:p w:rsidR="0037596D" w:rsidRDefault="00904D3A">
      <w:pPr>
        <w:spacing w:before="182"/>
        <w:ind w:left="120"/>
        <w:jc w:val="both"/>
        <w:rPr>
          <w:rFonts w:ascii="Calibri"/>
        </w:rPr>
      </w:pPr>
      <w:r>
        <w:rPr>
          <w:rFonts w:ascii="Calibri"/>
          <w:b/>
        </w:rPr>
        <w:t xml:space="preserve">Collaborators: </w:t>
      </w:r>
      <w:r>
        <w:rPr>
          <w:rFonts w:ascii="Calibri"/>
        </w:rPr>
        <w:t>Oregon State University, Green Diamond Resource Company, CalFire</w:t>
      </w:r>
    </w:p>
    <w:p w:rsidR="0037596D" w:rsidRDefault="00904D3A">
      <w:pPr>
        <w:spacing w:before="180"/>
        <w:ind w:left="120"/>
        <w:jc w:val="both"/>
        <w:rPr>
          <w:rFonts w:ascii="Calibri"/>
        </w:rPr>
      </w:pPr>
      <w:r>
        <w:rPr>
          <w:rFonts w:ascii="Calibri"/>
          <w:b/>
        </w:rPr>
        <w:t xml:space="preserve">Critical Question, Themes and/or Rules or Regulations being tested: </w:t>
      </w:r>
      <w:r>
        <w:rPr>
          <w:rFonts w:ascii="Calibri"/>
        </w:rPr>
        <w:t>Theme 1: WLPZ Riparian Function</w:t>
      </w:r>
    </w:p>
    <w:p w:rsidR="0037596D" w:rsidRDefault="0037596D">
      <w:pPr>
        <w:pStyle w:val="BodyText"/>
        <w:rPr>
          <w:rFonts w:ascii="Calibri"/>
          <w:sz w:val="22"/>
        </w:rPr>
      </w:pPr>
    </w:p>
    <w:p w:rsidR="0037596D" w:rsidRDefault="0037596D">
      <w:pPr>
        <w:pStyle w:val="BodyText"/>
        <w:spacing w:before="9"/>
        <w:rPr>
          <w:rFonts w:ascii="Calibri"/>
          <w:sz w:val="29"/>
        </w:rPr>
      </w:pPr>
    </w:p>
    <w:p w:rsidR="0037596D" w:rsidRDefault="00904D3A">
      <w:pPr>
        <w:ind w:left="120"/>
        <w:jc w:val="both"/>
        <w:rPr>
          <w:rFonts w:ascii="Calibri"/>
        </w:rPr>
      </w:pPr>
      <w:r>
        <w:rPr>
          <w:rFonts w:ascii="Calibri"/>
          <w:b/>
        </w:rPr>
        <w:t xml:space="preserve">Timeline: </w:t>
      </w:r>
      <w:r>
        <w:rPr>
          <w:rFonts w:ascii="Calibri"/>
        </w:rPr>
        <w:t>June 1, 2019 - May 31, 2023</w:t>
      </w:r>
    </w:p>
    <w:p w:rsidR="0037596D" w:rsidRDefault="0037596D">
      <w:pPr>
        <w:pStyle w:val="BodyText"/>
        <w:rPr>
          <w:rFonts w:ascii="Calibri"/>
          <w:sz w:val="20"/>
        </w:rPr>
      </w:pPr>
    </w:p>
    <w:p w:rsidR="0037596D" w:rsidRDefault="00BE308A">
      <w:pPr>
        <w:pStyle w:val="BodyText"/>
        <w:spacing w:before="2"/>
        <w:rPr>
          <w:rFonts w:ascii="Calibri"/>
          <w:sz w:val="10"/>
        </w:rPr>
      </w:pPr>
      <w:r>
        <w:rPr>
          <w:noProof/>
        </w:rPr>
        <mc:AlternateContent>
          <mc:Choice Requires="wps">
            <w:drawing>
              <wp:inline distT="0" distB="0" distL="0" distR="0">
                <wp:extent cx="5909310" cy="0"/>
                <wp:effectExtent l="0" t="0" r="8890" b="12700"/>
                <wp:docPr id="4" name="Line 3" descr="divide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909310" cy="0"/>
                        </a:xfrm>
                        <a:prstGeom prst="line">
                          <a:avLst/>
                        </a:prstGeom>
                        <a:noFill/>
                        <a:ln w="1273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inline>
            </w:drawing>
          </mc:Choice>
          <mc:Fallback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6AA86B00" id="Line 3" o:spid="_x0000_s1026" alt="divider" style="visibility:visible;mso-wrap-style:square;mso-left-percent:-10001;mso-top-percent:-10001;mso-position-horizontal:absolute;mso-position-horizontal-relative:char;mso-position-vertical:absolute;mso-position-vertical-relative:line;mso-left-percent:-10001;mso-top-percent:-10001" from="0,0" to="465.3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" strokeweight=".35369mm">
                <o:lock v:ext="edit" shapetype="f"/>
                <w10:anchorlock/>
              </v:line>
            </w:pict>
          </mc:Fallback>
        </mc:AlternateContent>
      </w:r>
    </w:p>
    <w:p w:rsidR="0037596D" w:rsidRDefault="0037596D">
      <w:pPr>
        <w:pStyle w:val="BodyText"/>
        <w:rPr>
          <w:rFonts w:ascii="Calibri"/>
          <w:sz w:val="20"/>
        </w:rPr>
      </w:pPr>
    </w:p>
    <w:p w:rsidR="0037596D" w:rsidRDefault="0037596D">
      <w:pPr>
        <w:pStyle w:val="BodyText"/>
        <w:spacing w:before="4"/>
        <w:rPr>
          <w:rFonts w:ascii="Calibri"/>
          <w:sz w:val="26"/>
        </w:rPr>
      </w:pPr>
    </w:p>
    <w:p w:rsidR="0037596D" w:rsidRDefault="00904D3A">
      <w:pPr>
        <w:pStyle w:val="ListParagraph"/>
        <w:numPr>
          <w:ilvl w:val="0"/>
          <w:numId w:val="7"/>
        </w:numPr>
        <w:tabs>
          <w:tab w:val="left" w:pos="841"/>
        </w:tabs>
        <w:spacing w:before="56"/>
        <w:ind w:firstLine="20"/>
        <w:jc w:val="left"/>
        <w:rPr>
          <w:rFonts w:ascii="Calibri"/>
          <w:b/>
        </w:rPr>
      </w:pPr>
      <w:r>
        <w:rPr>
          <w:rFonts w:ascii="Calibri"/>
          <w:b/>
        </w:rPr>
        <w:t>Background and</w:t>
      </w:r>
      <w:r>
        <w:rPr>
          <w:rFonts w:ascii="Calibri"/>
          <w:b/>
          <w:spacing w:val="-11"/>
        </w:rPr>
        <w:t xml:space="preserve"> </w:t>
      </w:r>
      <w:r>
        <w:rPr>
          <w:rFonts w:ascii="Calibri"/>
          <w:b/>
        </w:rPr>
        <w:t>Justification</w:t>
      </w:r>
    </w:p>
    <w:p w:rsidR="0037596D" w:rsidRDefault="00904D3A">
      <w:pPr>
        <w:spacing w:before="185" w:line="259" w:lineRule="auto"/>
        <w:ind w:left="480" w:right="329"/>
        <w:rPr>
          <w:rFonts w:ascii="Calibri"/>
        </w:rPr>
      </w:pPr>
      <w:r>
        <w:rPr>
          <w:rFonts w:ascii="Calibri"/>
        </w:rPr>
        <w:t>The California FPRs specify regulations for operations within WLPZs. Private landowners may also develop tailored riparian prescriptions. These practices are designed so timber operations do not cause adverse impacts to aquatic and terrestrial ecosystem health. As such, WLPZs can contribute toward objectives of many federal and California policies. Despite the importance of the effectiveness of WLPZs at mitigating adverse impacts, the current regulations have not been thoroughly examined.</w:t>
      </w:r>
    </w:p>
    <w:p w:rsidR="0037596D" w:rsidRDefault="00904D3A">
      <w:pPr>
        <w:pStyle w:val="ListParagraph"/>
        <w:numPr>
          <w:ilvl w:val="0"/>
          <w:numId w:val="7"/>
        </w:numPr>
        <w:tabs>
          <w:tab w:val="left" w:pos="841"/>
        </w:tabs>
        <w:spacing w:before="161"/>
        <w:ind w:left="840"/>
        <w:jc w:val="left"/>
        <w:rPr>
          <w:rFonts w:ascii="Calibri"/>
          <w:b/>
        </w:rPr>
      </w:pPr>
      <w:r>
        <w:rPr>
          <w:rFonts w:ascii="Calibri"/>
          <w:b/>
        </w:rPr>
        <w:t>Objectives and</w:t>
      </w:r>
      <w:r>
        <w:rPr>
          <w:rFonts w:ascii="Calibri"/>
          <w:b/>
          <w:spacing w:val="-7"/>
        </w:rPr>
        <w:t xml:space="preserve"> </w:t>
      </w:r>
      <w:r>
        <w:rPr>
          <w:rFonts w:ascii="Calibri"/>
          <w:b/>
        </w:rPr>
        <w:t>Scope</w:t>
      </w:r>
    </w:p>
    <w:p w:rsidR="0037596D" w:rsidRDefault="00904D3A">
      <w:pPr>
        <w:spacing w:before="182" w:line="259" w:lineRule="auto"/>
        <w:ind w:left="480" w:right="167"/>
        <w:rPr>
          <w:rFonts w:ascii="Calibri" w:hAnsi="Calibri"/>
        </w:rPr>
      </w:pPr>
      <w:r>
        <w:rPr>
          <w:rFonts w:ascii="Calibri" w:hAnsi="Calibri"/>
        </w:rPr>
        <w:t>The broad objectives of the proposed research are to address critical questions associated with the high priority thematic area (EMC Strategic Plan Theme 1-WLPZ Riparian Function (Effectiveness Monitoring Committee, 2018) related to watercourse and lake protection zones (WLPZ) of Class II-L watercourses in the Coast District (See 14 CCR § 916.9 [936.9,956.9] (c) (4)): (a) How do the current FPRs and GDRCs AHCP Class II riparian requirements influence important controls on water quality and stream metabolism, including canopy closure, solar radiation, and near-stream air temperature during the summer low flow period? (b) What is the relative importance of the different drivers (objective a) in influencing the variability in stream temperature dynamics (e.g., maximum, minimum, diurnal variations), dissolved oxygen, and primary productivity during summer low flow across different Class II WLPZ prescriptions? (c) Integrate the data from objectives (a) and (b) to develop a model to improve understanding of the effectiveness of different Class II WLPZ prescriptions at mitigating undesirable changes in stream temperature and primary productivity following forest harvesting activities across a range of scenarios.</w:t>
      </w:r>
    </w:p>
    <w:p w:rsidR="0037596D" w:rsidRDefault="00904D3A">
      <w:pPr>
        <w:pStyle w:val="ListParagraph"/>
        <w:numPr>
          <w:ilvl w:val="0"/>
          <w:numId w:val="7"/>
        </w:numPr>
        <w:tabs>
          <w:tab w:val="left" w:pos="841"/>
        </w:tabs>
        <w:spacing w:before="160"/>
        <w:ind w:left="840"/>
        <w:jc w:val="left"/>
        <w:rPr>
          <w:rFonts w:ascii="Calibri"/>
          <w:b/>
        </w:rPr>
      </w:pPr>
      <w:r>
        <w:rPr>
          <w:rFonts w:ascii="Calibri"/>
          <w:b/>
        </w:rPr>
        <w:t>Critical Questions and Relevant Forest Practice</w:t>
      </w:r>
      <w:r>
        <w:rPr>
          <w:rFonts w:ascii="Calibri"/>
          <w:b/>
          <w:spacing w:val="-27"/>
        </w:rPr>
        <w:t xml:space="preserve"> </w:t>
      </w:r>
      <w:r>
        <w:rPr>
          <w:rFonts w:ascii="Calibri"/>
          <w:b/>
        </w:rPr>
        <w:t>Regulations</w:t>
      </w:r>
    </w:p>
    <w:p w:rsidR="0037596D" w:rsidRDefault="0037596D">
      <w:pPr>
        <w:rPr>
          <w:rFonts w:ascii="Calibri"/>
        </w:rPr>
        <w:sectPr w:rsidR="0037596D">
          <w:footerReference w:type="even" r:id="rId7"/>
          <w:type w:val="continuous"/>
          <w:pgSz w:w="12240" w:h="15840"/>
          <w:pgMar w:top="1400" w:right="1360" w:bottom="280" w:left="1320" w:header="720" w:footer="720" w:gutter="0"/>
          <w:cols w:space="720"/>
        </w:sectPr>
      </w:pPr>
    </w:p>
    <w:p w:rsidR="0037596D" w:rsidRDefault="00904D3A">
      <w:pPr>
        <w:spacing w:before="39" w:line="259" w:lineRule="auto"/>
        <w:ind w:left="100" w:right="105"/>
        <w:rPr>
          <w:rFonts w:ascii="Calibri" w:hAnsi="Calibri"/>
        </w:rPr>
      </w:pPr>
      <w:r>
        <w:rPr>
          <w:rFonts w:ascii="Calibri" w:hAnsi="Calibri"/>
        </w:rPr>
        <w:lastRenderedPageBreak/>
        <w:t>Critical Questions: The proposed project will directly contribute knowledge to the following EMC Strategic Plan Themes and Critical Questions: • Theme 1: WLPZ Riparian Function. Specifically, the proposed research will address critical questions within this theme regarding, ‘Are the FPRs and associated regulations effective in: (a) maintaining and restoring canopy closure?  (b) maintaining and restoring stream water temperature? (d) retaining conifer and deciduous species to maintain or restore riparian shade, water temperature, and primary productivity? (f) maintaining and restoring riparian function of Class II-L watercourses in the Coast District? Please see section 4. ‘Research Methods’ of this proposal for details on the study design and methods we plan to use to adequately address the proposed critical questions. While the proposed project will not directly address the following, it is important to note that the data from the proposed project could be used to indirectly support and/or provide base data for future research on the following EMC Strategic Plan Themes and Critical Questions: • Theme 1: WLPZ Riparian Function. (c) Are the FPRs and associated regulations effective in retaining predominant conifers in WLPZs (Implementation and Compliance) and large woody debris input to watercourse channels? • Theme 5: Fish Habitat. (b) Are the FPRs and associated regulations effective in maintaining and restoring the distribution of foraging, rearing and spawning habitat for anadromous salmonids? • Theme 8: Wildlife Habitat Seral Stages. (a) Are the FPRs and associated regulations effective in retaining and recruiting late and diverse seral stage habitat components in WLPZs for wildlife? Scientific Uncertainty: The effectiveness of current WLPZ regulations at mitigating adverse site-specific and cumulative impacts are particularly important in Class II-L (Large) watercourses. Moreover, interactions between riparian conditions, light levels reaching streams, physical and chemical water quality, and primary productivity are critical knowledge gaps needed to manage riparian zones effectively. However, WLPZ regulations in the state have evolved rapidly. As such, there remains large gaps in our knowledge about the critical functions of WLPZ (additional details in section 1 ‘Background and justification’ of this proposal) necessary to maintain or enhance water quality, aquatic habitat, and wildlife habitat. Geographic Application: Research results will be directly relevant and applicable to the Coast Forest District within the Coastal Anadromy Zone (CAZ), which is a sub-region covered by the Anadromous Salmonid Protection (ASP) Rules. Increased process-based understanding may also inform current knowledge gaps and future research needs in the North Forest District of the CAZ, Southern Subdistrict of the CAZ, the Current Listed Salmonid Range outside of the CAZ, and more broadly to WLPZs outside of the ASP. Collaboration: The proposed project will be a multidisciplinary (e.g., foresters, hydrologists, geomorphologists, fish and wildlife ecologists) effort, involving individuals from academic, state agencies, and private industry. Base data (e.g., riparian stand structure) will be made available to collaborators to facilitate related research (e.g., large wood, terrestrial habitat), which has been discussed but is not part of this proposal.</w:t>
      </w:r>
    </w:p>
    <w:p w:rsidR="0037596D" w:rsidRDefault="0037596D">
      <w:pPr>
        <w:pStyle w:val="BodyText"/>
        <w:rPr>
          <w:rFonts w:ascii="Calibri"/>
          <w:sz w:val="22"/>
        </w:rPr>
      </w:pPr>
    </w:p>
    <w:p w:rsidR="0037596D" w:rsidRDefault="0037596D">
      <w:pPr>
        <w:pStyle w:val="BodyText"/>
        <w:spacing w:before="11"/>
        <w:rPr>
          <w:rFonts w:ascii="Calibri"/>
          <w:sz w:val="27"/>
        </w:rPr>
      </w:pPr>
    </w:p>
    <w:p w:rsidR="0037596D" w:rsidRDefault="00904D3A">
      <w:pPr>
        <w:pStyle w:val="ListParagraph"/>
        <w:numPr>
          <w:ilvl w:val="0"/>
          <w:numId w:val="7"/>
        </w:numPr>
        <w:tabs>
          <w:tab w:val="left" w:pos="461"/>
        </w:tabs>
        <w:jc w:val="left"/>
        <w:rPr>
          <w:rFonts w:ascii="Calibri"/>
          <w:b/>
        </w:rPr>
      </w:pPr>
      <w:r>
        <w:rPr>
          <w:rFonts w:ascii="Calibri"/>
          <w:b/>
        </w:rPr>
        <w:t>Describe Research</w:t>
      </w:r>
      <w:r>
        <w:rPr>
          <w:rFonts w:ascii="Calibri"/>
          <w:b/>
          <w:spacing w:val="-13"/>
        </w:rPr>
        <w:t xml:space="preserve"> </w:t>
      </w:r>
      <w:r>
        <w:rPr>
          <w:rFonts w:ascii="Calibri"/>
          <w:b/>
        </w:rPr>
        <w:t>Methods</w:t>
      </w:r>
    </w:p>
    <w:p w:rsidR="0037596D" w:rsidRDefault="00904D3A">
      <w:pPr>
        <w:spacing w:before="182" w:line="259" w:lineRule="auto"/>
        <w:ind w:left="100" w:right="234"/>
        <w:rPr>
          <w:rFonts w:ascii="Calibri"/>
        </w:rPr>
      </w:pPr>
      <w:r>
        <w:rPr>
          <w:rFonts w:ascii="Calibri"/>
        </w:rPr>
        <w:t>To fulfill the objectives of this study we will implement a Before-After Control-Impact (BACI) study design on GDRC holdings in the coastal anadromy zone (CAZ). We have identified 26 potential Class II-L stream reaches on GDRC holdings, which could be used for this study (Figures 1 and 2).</w:t>
      </w:r>
    </w:p>
    <w:p w:rsidR="0037596D" w:rsidRDefault="00904D3A">
      <w:pPr>
        <w:spacing w:line="259" w:lineRule="auto"/>
        <w:ind w:left="100" w:right="133"/>
        <w:rPr>
          <w:rFonts w:ascii="Calibri"/>
        </w:rPr>
      </w:pPr>
      <w:r>
        <w:rPr>
          <w:rFonts w:ascii="Calibri"/>
        </w:rPr>
        <w:t>Specifically, we have identified 17 potential stream reaches to be harvested and 6-9 potential reference stream reaches that will remain unharvested through the duration of the study. Our target, is to instrument 18 stream reaches, which would include 4 replicates of 3 WLPZ prescriptions</w:t>
      </w:r>
    </w:p>
    <w:p w:rsidR="0037596D" w:rsidRDefault="0037596D">
      <w:pPr>
        <w:spacing w:line="259" w:lineRule="auto"/>
        <w:rPr>
          <w:rFonts w:ascii="Calibri"/>
        </w:rPr>
        <w:sectPr w:rsidR="0037596D">
          <w:pgSz w:w="12240" w:h="15840"/>
          <w:pgMar w:top="1400" w:right="1340" w:bottom="280" w:left="1700" w:header="720" w:footer="720" w:gutter="0"/>
          <w:cols w:space="720"/>
        </w:sectPr>
      </w:pPr>
    </w:p>
    <w:p w:rsidR="0037596D" w:rsidRDefault="00904D3A">
      <w:pPr>
        <w:spacing w:before="39" w:line="259" w:lineRule="auto"/>
        <w:ind w:left="100" w:right="105"/>
        <w:rPr>
          <w:rFonts w:ascii="Calibri" w:hAnsi="Calibri"/>
        </w:rPr>
      </w:pPr>
      <w:r>
        <w:rPr>
          <w:rFonts w:ascii="Calibri" w:hAnsi="Calibri"/>
        </w:rPr>
        <w:lastRenderedPageBreak/>
        <w:t xml:space="preserve">(12 harvested stream reaches), plus 6 references streams. Specifically, the WLPZ prescriptions would include, but are not limited to: (a) ASP Coastal Anadromy Zone Class II-L Prescription – 30 foot core zone; 70 foot inner zone with 80 percent overstory canopy cover, (b) GDRC Habitat Conservation Plan (HCP) Prescription – 30 foot inner zone with 85 percent overstory canopy; 70 foot outer zone with 70 percent overstory canopy cover, and (c) alternative prescription resembling pre-ASP prescription – 100 foot zone with 50 percent overstory canopy. In the following sub-sections, we provide additional details about the methods we plan to use to adequately address the proposed critical questions. 4.1 WLPZ stand structure and canopy closure We will collect pre- and post- treatment data on WLPZ stand structure from ~5-7 fixed area plots along each of the 12 prescription and 6 reference stream reaches (~90-126 plots total). Fixed area plots will be approximately 1/10 acre (~400 m2). Data will be collected on all standing live and dead trees with diameters ≥ 4 inches (&gt;10 cm) at breast height [4.5 ft (1.37 m) above ground] that are within the WLPZ. We will record the following data for each tree: condition (live or dead), species, diameter at breast height (DBH), distance and azimuth from plot center. The canopy class (overstory, understory, or open) will be recorded for all live trees. Data recorded for dead trees includes decay class and mortality agent (e.g., wind, erosion, suppression, fire, insects, disease, and physical damage) when it is possible to determine. This foundational data is necessary to determine characteristics of the WLPZ likely to control its effectiveness and to interpret other data from this study. The WLPZ prescriptions will be implemented to meet the specified retention requirements for canopy cover. We will use hemispherical photography to relate canopy cover requirements to canopy closure, and assess effectiveness of the WLPZ at influencing solar radiation transmission to the stream. Hemispherical photographs will be taken over the center of the stream along all reaches in the study to adequately characterize the entire WLPZ in all stream reaches (~5–7 per stream reach; ~90–126 total). All photographs will be taken vertically up into the canopy from directly over the stream with a Nikon D7100 equipped with a Sigma 45 mm f2.8 circular fisheye lens. Photographs will be taken following the recommended standard protocols for exposure, leveling, and image processing (Beckschäfer et al., 2013; Glatthorn and Beckschäfer, 2014; Origo et al., 2017). The resulting photographs record the sky visible through gaps in the forest canopy, as well as the structure of the canopy (e.g., LAI). We will use these features of the photographs to estimate solar radiation transmitted through (or intercepted by) the WLPZ, which would then be received at the stream surface (Gonsamo et al., 2011). Plot inventory information will be entered into the United States Forest Service’s (USFS) Forest Vegetation Simulator (FVS). FVS is a distance-independent, individual tree forest growth model developed by the USFS that has been used to project forest stand development in the Pacific Northwest (Pollock and Beechie, 2014). Extensive information regarding FVS can be found at </w:t>
      </w:r>
      <w:hyperlink r:id="rId8">
        <w:r>
          <w:rPr>
            <w:rFonts w:ascii="Calibri" w:hAnsi="Calibri"/>
          </w:rPr>
          <w:t>www.fs.fed.us/fmsc/fvs/.</w:t>
        </w:r>
      </w:hyperlink>
      <w:r>
        <w:rPr>
          <w:rFonts w:ascii="Calibri" w:hAnsi="Calibri"/>
        </w:rPr>
        <w:t xml:space="preserve"> The Pacific Northwest variant will be used. Metrics which will be</w:t>
      </w:r>
      <w:r>
        <w:rPr>
          <w:rFonts w:ascii="Calibri" w:hAnsi="Calibri"/>
          <w:spacing w:val="-34"/>
        </w:rPr>
        <w:t xml:space="preserve"> </w:t>
      </w:r>
      <w:r>
        <w:rPr>
          <w:rFonts w:ascii="Calibri" w:hAnsi="Calibri"/>
        </w:rPr>
        <w:t>evaluated through the model over a 200 year period will be average tree diameter, stand density, height, and deadwood density.  4.2. Stream temperature measurements  Stream temperature is a critical physical water quality parameter that governs in-stream processes such as metabolism, gas solubility (e.g., DO), organic matter decomposition, with potentially related effects on stream biota (Johnson, 2004). As such, we will measure stream temperature (Ts) along each stream reach using thermistors (Onset TidbiT v2 Water Temperature Data Logger) programmed to collect data at 30- minute intervals. We will pair stream temperature (Ts) loggers with air temperature (Ta) data loggers to develop direct, local relationships between Ts and Ta. All in-stream loggers will be placed along the thalweg in riffle sections (avoiding stagnant pools) of each of the 12 streams in the</w:t>
      </w:r>
      <w:r>
        <w:rPr>
          <w:rFonts w:ascii="Calibri" w:hAnsi="Calibri"/>
          <w:spacing w:val="-29"/>
        </w:rPr>
        <w:t xml:space="preserve"> </w:t>
      </w:r>
      <w:r>
        <w:rPr>
          <w:rFonts w:ascii="Calibri" w:hAnsi="Calibri"/>
        </w:rPr>
        <w:t>treated</w:t>
      </w:r>
    </w:p>
    <w:p w:rsidR="0037596D" w:rsidRDefault="0037596D">
      <w:pPr>
        <w:spacing w:line="259" w:lineRule="auto"/>
        <w:rPr>
          <w:rFonts w:ascii="Calibri" w:hAnsi="Calibri"/>
        </w:rPr>
        <w:sectPr w:rsidR="0037596D">
          <w:pgSz w:w="12240" w:h="15840"/>
          <w:pgMar w:top="1400" w:right="1340" w:bottom="280" w:left="1700" w:header="720" w:footer="720" w:gutter="0"/>
          <w:cols w:space="720"/>
        </w:sectPr>
      </w:pPr>
    </w:p>
    <w:p w:rsidR="0037596D" w:rsidRDefault="00904D3A">
      <w:pPr>
        <w:spacing w:before="39" w:line="259" w:lineRule="auto"/>
        <w:ind w:left="100" w:right="94"/>
        <w:rPr>
          <w:rFonts w:ascii="Calibri" w:hAnsi="Calibri"/>
        </w:rPr>
      </w:pPr>
      <w:r>
        <w:rPr>
          <w:rFonts w:ascii="Calibri" w:hAnsi="Calibri"/>
        </w:rPr>
        <w:lastRenderedPageBreak/>
        <w:t>watersheds and 6 reference watersheds (~8-12 loggers per stream) (Figure 3). Analytically, we will test for differences in stream temperature dynamics (e.g., maximum, minimum, mean, diurnal variations) across the different WLPZ prescriptions, which will provide critical insights into WLPZ effectiveness. Moreover, we will investigate variations in longitudinal stream temperature in all study reaches. This aspect of the study may be leveraged to provide broader insights beyond the Coast District. This will be achieved by comparing and contrasting the data we will collect with data currently being collected at the Jackson and LaTour Demonstration State Forests (since 2017) as part of a previously funded EMC project (“Multiscale investigation of perennial flow and thermal influence of headwater streams into fish bearing systems”). 4.3. Primary productivity Primary productivity is a critical component of aquatic ecosystems, providing food for invertebrates, thus supporting salmonid production. Primary productivity is influenced by stream temperature, light levels reaching streams, and nutrient availability (Morin et al., 1999; Kiffney and Bull, 2000).</w:t>
      </w:r>
    </w:p>
    <w:p w:rsidR="0037596D" w:rsidRDefault="00904D3A">
      <w:pPr>
        <w:spacing w:line="259" w:lineRule="auto"/>
        <w:ind w:left="100" w:right="105"/>
        <w:rPr>
          <w:rFonts w:ascii="Calibri" w:hAnsi="Calibri"/>
        </w:rPr>
      </w:pPr>
      <w:r>
        <w:rPr>
          <w:rFonts w:ascii="Calibri" w:hAnsi="Calibri"/>
        </w:rPr>
        <w:t>However, it remains uncertain how riparian conditions influence these potential drivers and, therefore, in-stream primary productivity. To address critical questions related to this uncertainty, we with quantify summer stream periphyton. Specifically, we will measure benthic algal biomass with a BenthoTorch (BBE Moldaenke; http://www.bbe-moldaenke.de) at each of the stream temperature locations. The Benthotorch is a hand-held, fluorimeter that estimates in situ chlorophyll-a (chl-a) concentrations from the stream substrate based on absorbance of fluorescent light (Kahlert and McKie, 2014). Chl-a is the dominant photosynthetic pigment of benthic algae in streams, so it provides an approximate estimate of primary productivity (Gregory, 1980). We will collect measurements at 3–5 replicate locations randomly selected around each stream temperature sensor (~648–1080 total). Field measurements with the Benthotorch will be compared against the standard brush sampling/ethanol extraction/spectrophotometric analysis method to assess the accuracy and comparability of the different measurement techniques (Marker et al., 1980; Nusch, 1980). Locations near the BenthoTorch sites will be selected randomly; sample rocks will be covered with a cap of similar diameter to the measurement surface of the BenthoTorch (3 cm vs 1 cm for the cap and BenthoTorch respectively). The cap will remain in place while the remainder of the rock will be scrubbed with a nylon brush and rinsed. Following the rinsing procedure, the cap will be removed and the area below will be scrubbed vigorously with a nylon brush. This procedure will be repeated two additional times to collected a composite sample. The removed material from the small diameter sampling surface will be placed into a 250 mL bottle and topped off to 250 mL with stream water. The samples will be kept cold prior to transport to the laboratory. In the laboratory, the samples will be filtered in the dark (0.7 μm glass fiber filters). Filters will be stored in centrifuge tubes at -20°C for 18 days prior to extraction using sonication and hot 95% ethanol. Chl-a concentrations of the extractant will measured using a spectrophotometer and not corrected for phaeophytin as the BenthoTorch cannot distinguish between photoactive pigments.  While the in situ Chl a provides a surrogate for primary productivity at explicit spatial locations, it does not account for the energy usage during respiration by benthic primary producers. Comparatively, estimates of whole stream metabolism can account for it, providing a better estimate of energy availability to upper trophic levels. More specifically, whole-stream metabolism quantifies carbon cycling in streams and is an empirical measure of carbon fixed and respired in the ecosystem, providing an estimate of gross primary productivity (GPP) and ecosystem respiration (ER). As such, we will measure whole stream metabolism for 4-6 weeks on each study stream during summer low flows. To accomplish this we will incorporate measurements of stream temperature with</w:t>
      </w:r>
      <w:r>
        <w:rPr>
          <w:rFonts w:ascii="Calibri" w:hAnsi="Calibri"/>
          <w:spacing w:val="-25"/>
        </w:rPr>
        <w:t xml:space="preserve"> </w:t>
      </w:r>
      <w:r>
        <w:rPr>
          <w:rFonts w:ascii="Calibri" w:hAnsi="Calibri"/>
        </w:rPr>
        <w:t>additional</w:t>
      </w:r>
    </w:p>
    <w:p w:rsidR="0037596D" w:rsidRDefault="0037596D">
      <w:pPr>
        <w:spacing w:line="259" w:lineRule="auto"/>
        <w:rPr>
          <w:rFonts w:ascii="Calibri" w:hAnsi="Calibri"/>
        </w:rPr>
        <w:sectPr w:rsidR="0037596D">
          <w:pgSz w:w="12240" w:h="15840"/>
          <w:pgMar w:top="1400" w:right="1340" w:bottom="280" w:left="1700" w:header="720" w:footer="720" w:gutter="0"/>
          <w:cols w:space="720"/>
        </w:sectPr>
      </w:pPr>
    </w:p>
    <w:p w:rsidR="0037596D" w:rsidRDefault="00904D3A">
      <w:pPr>
        <w:spacing w:before="39" w:line="259" w:lineRule="auto"/>
        <w:ind w:left="100" w:right="105"/>
        <w:rPr>
          <w:rFonts w:ascii="Calibri" w:hAnsi="Calibri"/>
        </w:rPr>
      </w:pPr>
      <w:r>
        <w:rPr>
          <w:rFonts w:ascii="Calibri" w:hAnsi="Calibri"/>
        </w:rPr>
        <w:lastRenderedPageBreak/>
        <w:t>measures of DO, PAR, oxygen reaeration rates, and stream discharge. Specifically, we will deploy MiniDOT dissolved oxygen (DO) and temperature loggers (Precision Measurement Engineering, Inc.) for continuous measurement (30-min intervals). We will clean DO meters weekly during deployment, as readings on optical DO meters can be impacted by periphyton growth on the surface of the sensor. We will also install photosynthetically active radiation (PAR) sensors (Odyssey PAR Light) along each stream reach to provide high resolution data (30-min interval) on the spectral range (400–700 nm) of solar radiation used by photosynthetic organisms. We will distribute the DO and PAR sensor installations along each of the stream reaches at locations most likely to be representative of reach average values. We will measure oxygen reaeration rates using a gas tracer (i.e., sulfur hexafluoride or SF6) in all stream reaches (Wanninkhof et al., 1990). As the stream metabolism model we will use also requires information about the volume of water in the stream, we will install a level logger and barometer (Solinst Canada Ltd.) in each stream reach/watershed (Figures 1 and 2). Stage measurements from the level loggers will be converted to volumetric discharge measurements by developing stage-discharge relationships for each stream using the salt dilution gauging procedure (Moore, 2005). In this protocol, electrical conductivity (EC) measurements will be collected at one-second intervals using a YSI proDSS sensor Sonde (YSI Incorporated, Yellow Springs, OH). A salt slug (1 kg of salt, 6 L of water) will be prepared and dumped ~50 meters upstream of the EC sensor. We will then use the diel temperature, DO, PAR, reaeration, barometric pressure, and discharge data to calculate whole-stream metabolism using the one-station open-water exchange method (Kosinski and Merkle, 1984; Atkinson et al., 2008; Grace et al., 2015). We will determine two ecosystem metrics from these data using an inverse modeling approach based upon the diel oxygen curves (Atkinson et al., 2008; Grace et al.,</w:t>
      </w:r>
      <w:r>
        <w:rPr>
          <w:rFonts w:ascii="Calibri" w:hAnsi="Calibri"/>
          <w:spacing w:val="-31"/>
        </w:rPr>
        <w:t xml:space="preserve"> </w:t>
      </w:r>
      <w:r>
        <w:rPr>
          <w:rFonts w:ascii="Calibri" w:hAnsi="Calibri"/>
        </w:rPr>
        <w:t>2015).</w:t>
      </w:r>
    </w:p>
    <w:p w:rsidR="0037596D" w:rsidRDefault="00904D3A">
      <w:pPr>
        <w:spacing w:line="259" w:lineRule="auto"/>
        <w:ind w:left="100" w:right="96"/>
        <w:rPr>
          <w:rFonts w:ascii="Calibri" w:hAnsi="Calibri"/>
        </w:rPr>
      </w:pPr>
      <w:r>
        <w:rPr>
          <w:rFonts w:ascii="Calibri" w:hAnsi="Calibri"/>
        </w:rPr>
        <w:t>Finally, riparian conditions and in-stream temperature and DO can also influence nutrient dynamics and primary productivity. Thus, we will also collect stream water samples monthly during the summer for nutrient analysis (nitrogen, phosphorus, dissolved organic carbon). We will collect three replicates of manual depth-integrated water samples at the downstream outlet of each of the study reaches. Water samples will be filtered on site using Whatman GFF filters and then placed on ice in a cooler until frozen within 6 hrs of collection. Samples will be analyzed at OSU’s Institute for Water and Watersheds (IWW) Collaboratory.</w:t>
      </w:r>
    </w:p>
    <w:p w:rsidR="0037596D" w:rsidRDefault="00904D3A">
      <w:pPr>
        <w:pStyle w:val="ListParagraph"/>
        <w:numPr>
          <w:ilvl w:val="0"/>
          <w:numId w:val="7"/>
        </w:numPr>
        <w:tabs>
          <w:tab w:val="left" w:pos="461"/>
        </w:tabs>
        <w:spacing w:before="161"/>
        <w:jc w:val="left"/>
        <w:rPr>
          <w:rFonts w:ascii="Calibri"/>
          <w:b/>
        </w:rPr>
      </w:pPr>
      <w:r>
        <w:rPr>
          <w:rFonts w:ascii="Calibri"/>
          <w:b/>
        </w:rPr>
        <w:t>Describe Project</w:t>
      </w:r>
      <w:r>
        <w:rPr>
          <w:rFonts w:ascii="Calibri"/>
          <w:b/>
          <w:spacing w:val="-13"/>
        </w:rPr>
        <w:t xml:space="preserve"> </w:t>
      </w:r>
      <w:r>
        <w:rPr>
          <w:rFonts w:ascii="Calibri"/>
          <w:b/>
        </w:rPr>
        <w:t>Deliverables</w:t>
      </w:r>
    </w:p>
    <w:p w:rsidR="0037596D" w:rsidRDefault="00904D3A">
      <w:pPr>
        <w:spacing w:before="182" w:line="259" w:lineRule="auto"/>
        <w:ind w:left="100" w:right="105"/>
        <w:rPr>
          <w:rFonts w:ascii="Calibri" w:hAnsi="Calibri"/>
        </w:rPr>
      </w:pPr>
      <w:r>
        <w:rPr>
          <w:rFonts w:ascii="Calibri" w:hAnsi="Calibri"/>
        </w:rPr>
        <w:t>As outcomes of the proposed research project, the deliverables will include: ● Conduct all planned research and monitoring, data collection and recording, data analysis, and data interpretation. ● Digital archives of all raw data, digitally scanned field notes, processed data, and other products produced as a result of this research to facilitate future use of the data for other projects. ● Development of a PhD thesis and associated manuscripts for publication in refereed journals. ● A technical project report of the final results for the Department of Forestry and Fire Protection. ● Presentations at meetings with stakeholders, funding agencies, and professional workshops and conferences.</w:t>
      </w:r>
    </w:p>
    <w:p w:rsidR="0037596D" w:rsidRDefault="00904D3A">
      <w:pPr>
        <w:pStyle w:val="ListParagraph"/>
        <w:numPr>
          <w:ilvl w:val="0"/>
          <w:numId w:val="7"/>
        </w:numPr>
        <w:tabs>
          <w:tab w:val="left" w:pos="461"/>
        </w:tabs>
        <w:spacing w:before="161"/>
        <w:jc w:val="left"/>
        <w:rPr>
          <w:rFonts w:ascii="Calibri"/>
          <w:b/>
        </w:rPr>
      </w:pPr>
      <w:r>
        <w:rPr>
          <w:rFonts w:ascii="Calibri"/>
          <w:b/>
        </w:rPr>
        <w:t>Anticipated Project</w:t>
      </w:r>
      <w:r>
        <w:rPr>
          <w:rFonts w:ascii="Calibri"/>
          <w:b/>
          <w:spacing w:val="-11"/>
        </w:rPr>
        <w:t xml:space="preserve"> </w:t>
      </w:r>
      <w:r>
        <w:rPr>
          <w:rFonts w:ascii="Calibri"/>
          <w:b/>
        </w:rPr>
        <w:t>Timeline:</w:t>
      </w:r>
    </w:p>
    <w:p w:rsidR="0037596D" w:rsidRDefault="00904D3A">
      <w:pPr>
        <w:spacing w:before="182" w:line="259" w:lineRule="auto"/>
        <w:ind w:left="100" w:right="221"/>
        <w:rPr>
          <w:rFonts w:ascii="Calibri"/>
          <w:b/>
        </w:rPr>
      </w:pPr>
      <w:r>
        <w:rPr>
          <w:rFonts w:ascii="Calibri"/>
        </w:rPr>
        <w:t>The duration of the project will be 4 years starting June 1, 2019 and continuing until May 31, 2023 (Table 2). The timeline presented in Table 2 indicates the core activities associated with each of the main data collection components of the research</w:t>
      </w:r>
      <w:r>
        <w:rPr>
          <w:rFonts w:ascii="Calibri"/>
          <w:b/>
        </w:rPr>
        <w:t>.</w:t>
      </w:r>
    </w:p>
    <w:p w:rsidR="0037596D" w:rsidRDefault="0037596D">
      <w:pPr>
        <w:spacing w:line="259" w:lineRule="auto"/>
        <w:rPr>
          <w:rFonts w:ascii="Calibri"/>
        </w:rPr>
        <w:sectPr w:rsidR="0037596D">
          <w:pgSz w:w="12240" w:h="15840"/>
          <w:pgMar w:top="1400" w:right="1340" w:bottom="280" w:left="1700" w:header="720" w:footer="720" w:gutter="0"/>
          <w:cols w:space="720"/>
        </w:sectPr>
      </w:pPr>
    </w:p>
    <w:p w:rsidR="0037596D" w:rsidRDefault="00904D3A">
      <w:pPr>
        <w:pStyle w:val="ListParagraph"/>
        <w:numPr>
          <w:ilvl w:val="0"/>
          <w:numId w:val="7"/>
        </w:numPr>
        <w:tabs>
          <w:tab w:val="left" w:pos="461"/>
          <w:tab w:val="left" w:pos="3096"/>
          <w:tab w:val="left" w:pos="4758"/>
        </w:tabs>
        <w:spacing w:before="39"/>
        <w:jc w:val="left"/>
        <w:rPr>
          <w:rFonts w:ascii="Calibri"/>
        </w:rPr>
      </w:pPr>
      <w:r>
        <w:rPr>
          <w:rFonts w:ascii="Calibri"/>
          <w:b/>
        </w:rPr>
        <w:lastRenderedPageBreak/>
        <w:t>Requested</w:t>
      </w:r>
      <w:r>
        <w:rPr>
          <w:rFonts w:ascii="Calibri"/>
          <w:b/>
          <w:spacing w:val="-3"/>
        </w:rPr>
        <w:t xml:space="preserve"> </w:t>
      </w:r>
      <w:r>
        <w:rPr>
          <w:rFonts w:ascii="Calibri"/>
          <w:b/>
        </w:rPr>
        <w:t>Funding:</w:t>
      </w:r>
      <w:r>
        <w:rPr>
          <w:rFonts w:ascii="Calibri"/>
          <w:u w:val="single"/>
        </w:rPr>
        <w:t xml:space="preserve"> </w:t>
      </w:r>
      <w:r>
        <w:rPr>
          <w:rFonts w:ascii="Calibri"/>
          <w:u w:val="single"/>
        </w:rPr>
        <w:tab/>
        <w:t>$694,371.00</w:t>
      </w:r>
      <w:r>
        <w:rPr>
          <w:rFonts w:ascii="Calibri"/>
          <w:u w:val="single"/>
        </w:rPr>
        <w:tab/>
      </w:r>
    </w:p>
    <w:p w:rsidR="0037596D" w:rsidRDefault="0037596D">
      <w:pPr>
        <w:pStyle w:val="BodyText"/>
        <w:spacing w:before="11"/>
        <w:rPr>
          <w:rFonts w:ascii="Calibri"/>
          <w:sz w:val="20"/>
        </w:rPr>
      </w:pPr>
    </w:p>
    <w:p w:rsidR="0037596D" w:rsidRDefault="00904D3A">
      <w:pPr>
        <w:pStyle w:val="ListParagraph"/>
        <w:numPr>
          <w:ilvl w:val="0"/>
          <w:numId w:val="7"/>
        </w:numPr>
        <w:tabs>
          <w:tab w:val="left" w:pos="461"/>
        </w:tabs>
        <w:spacing w:before="56" w:line="256" w:lineRule="auto"/>
        <w:ind w:right="534"/>
        <w:jc w:val="left"/>
        <w:rPr>
          <w:rFonts w:ascii="Calibri"/>
          <w:i/>
        </w:rPr>
      </w:pPr>
      <w:r>
        <w:rPr>
          <w:rFonts w:ascii="Calibri"/>
          <w:b/>
        </w:rPr>
        <w:t xml:space="preserve">Principal Investigator(s) and Collaborator(s) </w:t>
      </w:r>
      <w:r>
        <w:rPr>
          <w:rFonts w:ascii="Calibri"/>
          <w:i/>
        </w:rPr>
        <w:t>(Include a contact person with email address, phone number, and mailing</w:t>
      </w:r>
      <w:r>
        <w:rPr>
          <w:rFonts w:ascii="Calibri"/>
          <w:i/>
          <w:spacing w:val="-8"/>
        </w:rPr>
        <w:t xml:space="preserve"> </w:t>
      </w:r>
      <w:r>
        <w:rPr>
          <w:rFonts w:ascii="Calibri"/>
          <w:i/>
        </w:rPr>
        <w:t>address)</w:t>
      </w:r>
    </w:p>
    <w:p w:rsidR="0037596D" w:rsidRDefault="0037596D">
      <w:pPr>
        <w:pStyle w:val="BodyText"/>
        <w:rPr>
          <w:rFonts w:ascii="Calibri"/>
          <w:i/>
        </w:rPr>
      </w:pPr>
    </w:p>
    <w:p w:rsidR="0037596D" w:rsidRDefault="00904D3A">
      <w:pPr>
        <w:spacing w:line="259" w:lineRule="auto"/>
        <w:ind w:left="460" w:right="95"/>
        <w:rPr>
          <w:rFonts w:ascii="Calibri"/>
        </w:rPr>
      </w:pPr>
      <w:r>
        <w:rPr>
          <w:rFonts w:ascii="Calibri"/>
        </w:rPr>
        <w:t xml:space="preserve">PI: Kevin Bladon, 280 Peavy Hall, Department of Forest Engineering, Resources, and Management, Oregon State University, Corvallis, OR, 97331, email: </w:t>
      </w:r>
      <w:hyperlink r:id="rId9">
        <w:r>
          <w:rPr>
            <w:rFonts w:ascii="Calibri"/>
          </w:rPr>
          <w:t>bladonk@oregonstate.edu,</w:t>
        </w:r>
      </w:hyperlink>
      <w:r>
        <w:rPr>
          <w:rFonts w:ascii="Calibri"/>
        </w:rPr>
        <w:t xml:space="preserve"> Tel: 541-737-5482, Cell: 541-243-2588</w:t>
      </w:r>
    </w:p>
    <w:p w:rsidR="0037596D" w:rsidRDefault="0037596D">
      <w:pPr>
        <w:pStyle w:val="BodyText"/>
        <w:spacing w:before="9"/>
        <w:rPr>
          <w:rFonts w:ascii="Calibri"/>
          <w:sz w:val="23"/>
        </w:rPr>
      </w:pPr>
    </w:p>
    <w:p w:rsidR="0037596D" w:rsidRDefault="00904D3A">
      <w:pPr>
        <w:spacing w:before="1" w:line="259" w:lineRule="auto"/>
        <w:ind w:left="460" w:right="124"/>
        <w:rPr>
          <w:rFonts w:ascii="Calibri"/>
        </w:rPr>
      </w:pPr>
      <w:r>
        <w:rPr>
          <w:rFonts w:ascii="Calibri"/>
        </w:rPr>
        <w:t xml:space="preserve">Co-PI: Catalina Segura, 280 Peavy Hall, Department of Forest Engineering, Resources, and Management, Oregon State University, Corvallis, OR, 97331, email: </w:t>
      </w:r>
      <w:hyperlink r:id="rId10">
        <w:r>
          <w:rPr>
            <w:rFonts w:ascii="Calibri"/>
          </w:rPr>
          <w:t>segurac@oregonstate.edu,</w:t>
        </w:r>
      </w:hyperlink>
      <w:r>
        <w:rPr>
          <w:rFonts w:ascii="Calibri"/>
        </w:rPr>
        <w:t xml:space="preserve"> Tel: 541-737-6568</w:t>
      </w:r>
    </w:p>
    <w:p w:rsidR="0037596D" w:rsidRDefault="0037596D">
      <w:pPr>
        <w:pStyle w:val="BodyText"/>
        <w:spacing w:before="8"/>
        <w:rPr>
          <w:rFonts w:ascii="Calibri"/>
          <w:sz w:val="23"/>
        </w:rPr>
      </w:pPr>
    </w:p>
    <w:p w:rsidR="0037596D" w:rsidRDefault="00904D3A">
      <w:pPr>
        <w:ind w:left="460"/>
        <w:rPr>
          <w:rFonts w:ascii="Calibri"/>
        </w:rPr>
      </w:pPr>
      <w:r>
        <w:rPr>
          <w:rFonts w:ascii="Calibri"/>
        </w:rPr>
        <w:t>Collaborators: Matt House, Drew Coe, Nicholas Simpson</w:t>
      </w:r>
    </w:p>
    <w:p w:rsidR="0037596D" w:rsidRDefault="0037596D">
      <w:pPr>
        <w:rPr>
          <w:rFonts w:ascii="Calibri"/>
        </w:rPr>
        <w:sectPr w:rsidR="0037596D">
          <w:pgSz w:w="12240" w:h="15840"/>
          <w:pgMar w:top="1400" w:right="1480" w:bottom="280" w:left="1700" w:header="720" w:footer="720" w:gutter="0"/>
          <w:cols w:space="720"/>
        </w:sectPr>
      </w:pPr>
    </w:p>
    <w:p w:rsidR="0037596D" w:rsidRDefault="00904D3A">
      <w:pPr>
        <w:spacing w:before="78"/>
        <w:ind w:left="120"/>
        <w:rPr>
          <w:sz w:val="24"/>
        </w:rPr>
      </w:pPr>
      <w:bookmarkStart w:id="2" w:name="EMC-2018-006_Full_Proposal"/>
      <w:bookmarkEnd w:id="2"/>
      <w:r>
        <w:rPr>
          <w:b/>
          <w:sz w:val="24"/>
        </w:rPr>
        <w:lastRenderedPageBreak/>
        <w:t xml:space="preserve">Project #: </w:t>
      </w:r>
      <w:r>
        <w:rPr>
          <w:sz w:val="24"/>
        </w:rPr>
        <w:t>EMC-2018-006</w:t>
      </w:r>
    </w:p>
    <w:p w:rsidR="0037596D" w:rsidRDefault="0037596D">
      <w:pPr>
        <w:pStyle w:val="BodyText"/>
        <w:spacing w:before="11"/>
        <w:rPr>
          <w:sz w:val="23"/>
        </w:rPr>
      </w:pPr>
    </w:p>
    <w:p w:rsidR="0037596D" w:rsidRDefault="00904D3A">
      <w:pPr>
        <w:pStyle w:val="BodyText"/>
        <w:ind w:left="120" w:right="209"/>
      </w:pPr>
      <w:r>
        <w:rPr>
          <w:b/>
        </w:rPr>
        <w:t xml:space="preserve">Project title: </w:t>
      </w:r>
      <w:r>
        <w:t>Effectiveness of Class II Watercourse and Lake Protection Zone (WLPZ) Forest Practice Rules (FPRs) and Aquatic Habitat Conservation Plan (AHCP) Riparian Prescriptions at Maintaining or Restoring Canopy Closure, Stream Water Temperature, Primary Productivity, and Terrestrial Habitat</w:t>
      </w:r>
    </w:p>
    <w:p w:rsidR="0037596D" w:rsidRDefault="0037596D">
      <w:pPr>
        <w:pStyle w:val="BodyText"/>
        <w:spacing w:before="11"/>
        <w:rPr>
          <w:sz w:val="23"/>
        </w:rPr>
      </w:pPr>
    </w:p>
    <w:p w:rsidR="0037596D" w:rsidRDefault="00904D3A">
      <w:pPr>
        <w:pStyle w:val="BodyText"/>
        <w:ind w:left="120"/>
      </w:pPr>
      <w:r>
        <w:rPr>
          <w:b/>
        </w:rPr>
        <w:t xml:space="preserve">PIs: </w:t>
      </w:r>
      <w:r>
        <w:t>Kevin Bladon, Catalina Segura, Matt House, Drew Coe, Nicholas Simpson</w:t>
      </w:r>
    </w:p>
    <w:p w:rsidR="0037596D" w:rsidRDefault="0037596D">
      <w:pPr>
        <w:pStyle w:val="BodyText"/>
        <w:spacing w:before="11"/>
        <w:rPr>
          <w:sz w:val="23"/>
        </w:rPr>
      </w:pPr>
    </w:p>
    <w:p w:rsidR="0037596D" w:rsidRDefault="00904D3A">
      <w:pPr>
        <w:pStyle w:val="BodyText"/>
        <w:ind w:left="120"/>
      </w:pPr>
      <w:r>
        <w:rPr>
          <w:b/>
        </w:rPr>
        <w:t xml:space="preserve">Collaborators: </w:t>
      </w:r>
      <w:r>
        <w:t>Oregon State University, Green Diamond Resource Company, CAL FIRE, California Department of Fish and Wildlife</w:t>
      </w:r>
    </w:p>
    <w:p w:rsidR="0037596D" w:rsidRDefault="0037596D">
      <w:pPr>
        <w:pStyle w:val="BodyText"/>
        <w:spacing w:before="11"/>
        <w:rPr>
          <w:sz w:val="23"/>
        </w:rPr>
      </w:pPr>
    </w:p>
    <w:p w:rsidR="0037596D" w:rsidRDefault="00904D3A">
      <w:pPr>
        <w:ind w:left="120" w:right="144"/>
        <w:rPr>
          <w:sz w:val="24"/>
        </w:rPr>
      </w:pPr>
      <w:r>
        <w:rPr>
          <w:b/>
          <w:sz w:val="24"/>
        </w:rPr>
        <w:t xml:space="preserve">Critical Question Themes and Rules or Regulations being Tested: </w:t>
      </w:r>
      <w:r>
        <w:rPr>
          <w:sz w:val="24"/>
        </w:rPr>
        <w:t>Theme 1: WLPZ Riparian Function</w:t>
      </w:r>
    </w:p>
    <w:p w:rsidR="0037596D" w:rsidRDefault="0037596D">
      <w:pPr>
        <w:pStyle w:val="BodyText"/>
        <w:spacing w:before="11"/>
        <w:rPr>
          <w:sz w:val="23"/>
        </w:rPr>
      </w:pPr>
    </w:p>
    <w:p w:rsidR="0037596D" w:rsidRDefault="00904D3A">
      <w:pPr>
        <w:pStyle w:val="BodyText"/>
        <w:ind w:left="120" w:right="181"/>
      </w:pPr>
      <w:r>
        <w:rPr>
          <w:b/>
        </w:rPr>
        <w:t xml:space="preserve">Timeline: </w:t>
      </w:r>
      <w:r>
        <w:t>The duration of the project will be 4 years starting June 1, 2019 and continuing until May 31, 2023 (Table 1). The timeline presented in Table 1 indicates the core activities associated with each of the main data collection components of the research.</w:t>
      </w:r>
    </w:p>
    <w:p w:rsidR="0037596D" w:rsidRDefault="0037596D">
      <w:pPr>
        <w:pStyle w:val="BodyText"/>
      </w:pPr>
    </w:p>
    <w:p w:rsidR="0037596D" w:rsidRDefault="00904D3A">
      <w:pPr>
        <w:pStyle w:val="Heading1"/>
        <w:numPr>
          <w:ilvl w:val="0"/>
          <w:numId w:val="6"/>
        </w:numPr>
        <w:tabs>
          <w:tab w:val="left" w:pos="480"/>
        </w:tabs>
      </w:pPr>
      <w:r>
        <w:t>Background and</w:t>
      </w:r>
      <w:r>
        <w:rPr>
          <w:spacing w:val="-24"/>
        </w:rPr>
        <w:t xml:space="preserve"> </w:t>
      </w:r>
      <w:r>
        <w:t>justification</w:t>
      </w:r>
    </w:p>
    <w:p w:rsidR="0037596D" w:rsidRDefault="0037596D">
      <w:pPr>
        <w:pStyle w:val="BodyText"/>
        <w:spacing w:before="9"/>
        <w:rPr>
          <w:b/>
          <w:sz w:val="23"/>
        </w:rPr>
      </w:pPr>
    </w:p>
    <w:p w:rsidR="0037596D" w:rsidRDefault="00904D3A">
      <w:pPr>
        <w:pStyle w:val="BodyText"/>
        <w:ind w:left="119" w:right="183" w:firstLine="720"/>
      </w:pPr>
      <w:r>
        <w:t xml:space="preserve">Estimating the thermal response of headwater streams and rivers to forest management activities is increasingly important given current and projected climate change (Luce </w:t>
      </w:r>
      <w:r>
        <w:rPr>
          <w:i/>
        </w:rPr>
        <w:t>et al.</w:t>
      </w:r>
      <w:r>
        <w:t xml:space="preserve">, 2014; Pyne and Poff, 2017) and increasing land use activities (Hester and Doyle, 2011). Historical forest management activities, such as harvesting near streams, often resulted in increased summertime stream temperatures because of reduced shade and increased solar radiation reaching the stream surface (Moore and Wondzell, 2005; Studinski </w:t>
      </w:r>
      <w:r>
        <w:rPr>
          <w:i/>
        </w:rPr>
        <w:t>et al.</w:t>
      </w:r>
      <w:r>
        <w:t xml:space="preserve">, 2012). Changes in stream temperature regimes are principally a concern when resulting temperatures are outside the range of thermal tolerances for aquatic ecosystem biota (Dunham </w:t>
      </w:r>
      <w:r>
        <w:rPr>
          <w:i/>
        </w:rPr>
        <w:t>et al.</w:t>
      </w:r>
      <w:r>
        <w:t xml:space="preserve">, 2003; Bear </w:t>
      </w:r>
      <w:r>
        <w:rPr>
          <w:i/>
        </w:rPr>
        <w:t>et al.</w:t>
      </w:r>
      <w:r>
        <w:t>, 2007).</w:t>
      </w:r>
    </w:p>
    <w:p w:rsidR="0037596D" w:rsidRDefault="00904D3A">
      <w:pPr>
        <w:pStyle w:val="BodyText"/>
        <w:ind w:left="119" w:right="537"/>
      </w:pPr>
      <w:r>
        <w:t xml:space="preserve">Elevated stream temperatures can affect primary productivity (D'Angelo </w:t>
      </w:r>
      <w:r>
        <w:rPr>
          <w:i/>
        </w:rPr>
        <w:t>et al.</w:t>
      </w:r>
      <w:r>
        <w:t xml:space="preserve">, 1997; Morin </w:t>
      </w:r>
      <w:r>
        <w:rPr>
          <w:i/>
        </w:rPr>
        <w:t>et al.</w:t>
      </w:r>
      <w:r>
        <w:t xml:space="preserve">, 1999), benthic invertebrates (Hogg and Williams, 1996; Hawkins </w:t>
      </w:r>
      <w:r>
        <w:rPr>
          <w:i/>
        </w:rPr>
        <w:t>et al.</w:t>
      </w:r>
      <w:r>
        <w:t xml:space="preserve">, 1997; Caruso, 2002), fish habitat (Eaton and Scheller, 1996; Beitinger </w:t>
      </w:r>
      <w:r>
        <w:rPr>
          <w:i/>
        </w:rPr>
        <w:t>et al.</w:t>
      </w:r>
      <w:r>
        <w:t xml:space="preserve">, 2000; Waite and Carpenter, 2000; Ice, 2008), as well as the rates of in-stream chemical processes (Demars </w:t>
      </w:r>
      <w:r>
        <w:rPr>
          <w:i/>
        </w:rPr>
        <w:t>et al.</w:t>
      </w:r>
      <w:r>
        <w:t>, 2011).</w:t>
      </w:r>
    </w:p>
    <w:p w:rsidR="0037596D" w:rsidRDefault="00904D3A">
      <w:pPr>
        <w:pStyle w:val="BodyText"/>
        <w:ind w:left="119" w:right="119" w:firstLine="720"/>
      </w:pPr>
      <w:r>
        <w:t xml:space="preserve">To address and mitigate negative impacts from forest harvesting activities in and around riparian zones, best management practices (BMPs) have been developed and implemented (Cristan </w:t>
      </w:r>
      <w:r>
        <w:rPr>
          <w:i/>
        </w:rPr>
        <w:t>et al.</w:t>
      </w:r>
      <w:r>
        <w:t xml:space="preserve">, 2016). In particular, BMPs aimed at maintenance or reestablishment of streamside forests have been effective at improving many of the functions of riparian zones. For example, there is strong evidence that riparian forests have been effective at providing shade, limiting direct solar radiation to the stream, and mitigating changes in stream temperature after contemporary forest harvesting (McGurk, 1989; Ledwith, 1996; Bladon </w:t>
      </w:r>
      <w:r>
        <w:rPr>
          <w:i/>
        </w:rPr>
        <w:t>et al.</w:t>
      </w:r>
      <w:r>
        <w:t xml:space="preserve">, 2016; Bladon </w:t>
      </w:r>
      <w:r>
        <w:rPr>
          <w:i/>
        </w:rPr>
        <w:t>et al.</w:t>
      </w:r>
      <w:r>
        <w:t>, 2018). Maintenance of shade has been found to be an effective strategy to mitigate stream temperature changes</w:t>
      </w:r>
      <w:r>
        <w:rPr>
          <w:spacing w:val="-5"/>
        </w:rPr>
        <w:t xml:space="preserve"> </w:t>
      </w:r>
      <w:r>
        <w:t>following</w:t>
      </w:r>
      <w:r>
        <w:rPr>
          <w:spacing w:val="-5"/>
        </w:rPr>
        <w:t xml:space="preserve"> </w:t>
      </w:r>
      <w:r>
        <w:t>forest</w:t>
      </w:r>
      <w:r>
        <w:rPr>
          <w:spacing w:val="-5"/>
        </w:rPr>
        <w:t xml:space="preserve"> </w:t>
      </w:r>
      <w:r>
        <w:t>harvesting</w:t>
      </w:r>
      <w:r>
        <w:rPr>
          <w:spacing w:val="-6"/>
        </w:rPr>
        <w:t xml:space="preserve"> </w:t>
      </w:r>
      <w:r>
        <w:t>as</w:t>
      </w:r>
      <w:r>
        <w:rPr>
          <w:spacing w:val="-6"/>
        </w:rPr>
        <w:t xml:space="preserve"> </w:t>
      </w:r>
      <w:r>
        <w:t>direct</w:t>
      </w:r>
      <w:r>
        <w:rPr>
          <w:spacing w:val="-6"/>
        </w:rPr>
        <w:t xml:space="preserve"> </w:t>
      </w:r>
      <w:r>
        <w:t>solar</w:t>
      </w:r>
      <w:r>
        <w:rPr>
          <w:spacing w:val="-6"/>
        </w:rPr>
        <w:t xml:space="preserve"> </w:t>
      </w:r>
      <w:r>
        <w:t>radiation</w:t>
      </w:r>
      <w:r>
        <w:rPr>
          <w:spacing w:val="-6"/>
        </w:rPr>
        <w:t xml:space="preserve"> </w:t>
      </w:r>
      <w:r>
        <w:t>and</w:t>
      </w:r>
      <w:r>
        <w:rPr>
          <w:spacing w:val="-5"/>
        </w:rPr>
        <w:t xml:space="preserve"> </w:t>
      </w:r>
      <w:r>
        <w:t>atmospheric</w:t>
      </w:r>
      <w:r>
        <w:rPr>
          <w:spacing w:val="-5"/>
        </w:rPr>
        <w:t xml:space="preserve"> </w:t>
      </w:r>
      <w:r>
        <w:t>conditions</w:t>
      </w:r>
    </w:p>
    <w:p w:rsidR="0037596D" w:rsidRDefault="0037596D">
      <w:pPr>
        <w:sectPr w:rsidR="0037596D">
          <w:footerReference w:type="default" r:id="rId11"/>
          <w:pgSz w:w="12240" w:h="15840"/>
          <w:pgMar w:top="1360" w:right="1340" w:bottom="1380" w:left="1320" w:header="0" w:footer="1193" w:gutter="0"/>
          <w:pgNumType w:start="1"/>
          <w:cols w:space="720"/>
        </w:sectPr>
      </w:pPr>
    </w:p>
    <w:p w:rsidR="0037596D" w:rsidRDefault="00904D3A">
      <w:pPr>
        <w:pStyle w:val="BodyText"/>
        <w:spacing w:before="78"/>
        <w:ind w:left="119" w:right="116"/>
      </w:pPr>
      <w:r>
        <w:lastRenderedPageBreak/>
        <w:t xml:space="preserve">are often the primary driver for summer stream temperatures (Cafferata, 1990; Sinokrot and Stefan, 1993; James, 2003; Johnson, 2004; Wick, 2016). There is recent evidence, though, that too much shade from riparian forests may reduce in-stream photosynthesis (primary productivity) with associated declines in aquatic insects, fish, and/or amphibian productivity (Wilzbach </w:t>
      </w:r>
      <w:r>
        <w:rPr>
          <w:i/>
        </w:rPr>
        <w:t>et al.</w:t>
      </w:r>
      <w:r>
        <w:t xml:space="preserve">, 2005; Newton and Ice, 2016). Additionally, there is some evidence that other factors, such as stream orientation (Gomi </w:t>
      </w:r>
      <w:r>
        <w:rPr>
          <w:i/>
        </w:rPr>
        <w:t>et al.</w:t>
      </w:r>
      <w:r>
        <w:t>, 2006), steepness of channel slopes (Kasahara and Wondzell, 2003), and the contributions to streamflow from groundwater or hyporheic exchange (Moore and Wondzell, 2005) could all influence the effectiveness of riparian zones. However, the relative importance of these different factors and the possible tradeoffs in riparian function haven’t been adequately or holistically examined.</w:t>
      </w:r>
    </w:p>
    <w:p w:rsidR="0037596D" w:rsidRDefault="00904D3A">
      <w:pPr>
        <w:pStyle w:val="BodyText"/>
        <w:ind w:left="120" w:right="120" w:firstLine="720"/>
      </w:pPr>
      <w:r>
        <w:t>The California Forest Practice Rules (FPRs) specify regulations for operations within Watercourse Lake and Protection Zones (WLPZs), the strips of retained trees and/or vegetation, along both sides of a watercourse. As an alternative to the ASP FPRs, private landowners may also develop tailored riparian prescriptions within an Aquatic Habitat Conservation Plan (AHCP), as part of the application for an Incidental Take Permit (ITP). For example, Green Diamond Resource Company (GDRC) has had an approved AHCP since 2007, which includes specific requirements for Class II watercourses. The AHCP also includes monitoring and a process to iteratively adjust management practices in response to findings from monitoring and experiments (i.e., adaptive management). In either case, these forest management practices are designed to ensure that “timber operations do not potentially cause significant adverse site-specific and cumulative impacts to the beneficial uses of water, native aquatic and riparian-associated species, and the beneficial functions of riparian zones” (CAL FIRE, 2017). As such, both the ASP FPRs and GDRC AHCP Class II riparian requirements for the WLPZ have the potential to contribute toward the objectives of key policies, such as the federal Endangered Species Act, California Endangered Species Act, Clean Water Action Section 303(d), Salmon Policy, Water Policy, and Joint Pacific Salmon and Anadromous Trout Policies (CAL FIRE, 2017). However, again, the effectiveness of current</w:t>
      </w:r>
      <w:r>
        <w:rPr>
          <w:spacing w:val="-8"/>
        </w:rPr>
        <w:t xml:space="preserve"> </w:t>
      </w:r>
      <w:r>
        <w:t>WLPZ</w:t>
      </w:r>
      <w:r>
        <w:rPr>
          <w:spacing w:val="-8"/>
        </w:rPr>
        <w:t xml:space="preserve"> </w:t>
      </w:r>
      <w:r>
        <w:t>regulations</w:t>
      </w:r>
      <w:r>
        <w:rPr>
          <w:spacing w:val="-8"/>
        </w:rPr>
        <w:t xml:space="preserve"> </w:t>
      </w:r>
      <w:r>
        <w:t>have</w:t>
      </w:r>
      <w:r>
        <w:rPr>
          <w:spacing w:val="-7"/>
        </w:rPr>
        <w:t xml:space="preserve"> </w:t>
      </w:r>
      <w:r>
        <w:t>not</w:t>
      </w:r>
      <w:r>
        <w:rPr>
          <w:spacing w:val="-7"/>
        </w:rPr>
        <w:t xml:space="preserve"> </w:t>
      </w:r>
      <w:r>
        <w:t>been</w:t>
      </w:r>
      <w:r>
        <w:rPr>
          <w:spacing w:val="-7"/>
        </w:rPr>
        <w:t xml:space="preserve"> </w:t>
      </w:r>
      <w:r>
        <w:t>thoroughly</w:t>
      </w:r>
      <w:r>
        <w:rPr>
          <w:spacing w:val="-7"/>
        </w:rPr>
        <w:t xml:space="preserve"> </w:t>
      </w:r>
      <w:r>
        <w:t>examined.</w:t>
      </w:r>
    </w:p>
    <w:p w:rsidR="0037596D" w:rsidRDefault="00904D3A">
      <w:pPr>
        <w:pStyle w:val="BodyText"/>
        <w:ind w:left="119" w:right="201" w:firstLine="720"/>
      </w:pPr>
      <w:r>
        <w:t>The effectiveness of current WLPZ regulations at mitigating adverse site-specific and cumulative impacts are particularly important in Class II-L (Large) watercourses. In California, the Forest Practice Rules (FPRs) afford the most protection to Class I (fish bearing) relative to Class II (aquatic life other than fish) and Class III streams (not supporting aquatic life). However, it has been recognized that headwater systems can be critically important to the water quality in downstream sites (MacDonald and Coe, 2007). This has led to the establishment of stricter provisions for Class II Large (Class II-L) watercourses compared to other Class II Standard (Class II-S) streams, according to the “Anadromous Salmonid Protection Rules, 2009” (ASP), and modified by the “Class II-L Identification and Protection Amendments, 2013” rule package approved by the California State Board of Forestry and Fire Protection in October, 2013. At present, the regulations require a 30 foot core zone and a 70 foot inner zone within watersheds of the coastal anadromy zone (Table 1), unless a site-specific riparian prescription is approved under CCR § 916.9(v). One of the objectives of these rules is to protect anadromous salmonid habitat by minimizing potential increases in water temperature and sediment from Class II and Class III watercourses draining into Class I systems. In</w:t>
      </w:r>
    </w:p>
    <w:p w:rsidR="0037596D" w:rsidRDefault="0037596D">
      <w:pPr>
        <w:sectPr w:rsidR="0037596D">
          <w:pgSz w:w="12240" w:h="15840"/>
          <w:pgMar w:top="1360" w:right="1340" w:bottom="1380" w:left="1320" w:header="0" w:footer="1193" w:gutter="0"/>
          <w:cols w:space="720"/>
        </w:sectPr>
      </w:pPr>
    </w:p>
    <w:p w:rsidR="0037596D" w:rsidRDefault="00904D3A">
      <w:pPr>
        <w:pStyle w:val="BodyText"/>
        <w:spacing w:before="78"/>
        <w:ind w:left="120"/>
      </w:pPr>
      <w:r>
        <w:lastRenderedPageBreak/>
        <w:t>addition, all watercourse and lake protection rules are designed to maintain, protect, and/or restore riparian-associated species, including amphibians and terrestrial wildlife species.</w:t>
      </w:r>
    </w:p>
    <w:p w:rsidR="0037596D" w:rsidRDefault="0037596D">
      <w:pPr>
        <w:pStyle w:val="BodyText"/>
        <w:spacing w:before="1"/>
      </w:pPr>
    </w:p>
    <w:p w:rsidR="0037596D" w:rsidRDefault="00904D3A">
      <w:pPr>
        <w:pStyle w:val="Heading1"/>
        <w:numPr>
          <w:ilvl w:val="0"/>
          <w:numId w:val="6"/>
        </w:numPr>
        <w:tabs>
          <w:tab w:val="left" w:pos="480"/>
        </w:tabs>
        <w:ind w:left="479" w:hanging="359"/>
      </w:pPr>
      <w:r>
        <w:t>Objectives and</w:t>
      </w:r>
      <w:r>
        <w:rPr>
          <w:spacing w:val="-15"/>
        </w:rPr>
        <w:t xml:space="preserve"> </w:t>
      </w:r>
      <w:r>
        <w:t>scope</w:t>
      </w:r>
    </w:p>
    <w:p w:rsidR="0037596D" w:rsidRDefault="0037596D">
      <w:pPr>
        <w:pStyle w:val="BodyText"/>
        <w:spacing w:before="10"/>
        <w:rPr>
          <w:b/>
          <w:sz w:val="23"/>
        </w:rPr>
      </w:pPr>
    </w:p>
    <w:p w:rsidR="0037596D" w:rsidRDefault="00904D3A">
      <w:pPr>
        <w:pStyle w:val="BodyText"/>
        <w:ind w:left="120" w:right="249" w:firstLine="720"/>
      </w:pPr>
      <w:r>
        <w:t>The broad objectives of the proposed research are to address critical questions associated with the high priority thematic area (EMC Strategic Plan Theme 1-WLPZ Riparian Function (Effectiveness Monitoring Committee, 2018) related to watercourse and lake protection zones (WLPZ) of Class II-L watercourses in the Coast District (See 14 CCR § 916.9 [936.9,956.9] (c) (4)):</w:t>
      </w:r>
    </w:p>
    <w:p w:rsidR="0037596D" w:rsidRDefault="0037596D">
      <w:pPr>
        <w:pStyle w:val="BodyText"/>
        <w:spacing w:before="11"/>
        <w:rPr>
          <w:sz w:val="23"/>
        </w:rPr>
      </w:pPr>
    </w:p>
    <w:p w:rsidR="0037596D" w:rsidRDefault="00904D3A">
      <w:pPr>
        <w:pStyle w:val="ListParagraph"/>
        <w:numPr>
          <w:ilvl w:val="1"/>
          <w:numId w:val="6"/>
        </w:numPr>
        <w:tabs>
          <w:tab w:val="left" w:pos="1200"/>
        </w:tabs>
        <w:ind w:right="388"/>
        <w:rPr>
          <w:sz w:val="24"/>
        </w:rPr>
      </w:pPr>
      <w:r>
        <w:rPr>
          <w:sz w:val="24"/>
        </w:rPr>
        <w:t>How do the current FPRs and GDRCs AHCP Class II riparian requirements influence important controls on water quality and stream metabolism, including canopy closure, solar radiation, and near-stream air temperature during the summer low flow</w:t>
      </w:r>
      <w:r>
        <w:rPr>
          <w:spacing w:val="-25"/>
          <w:sz w:val="24"/>
        </w:rPr>
        <w:t xml:space="preserve"> </w:t>
      </w:r>
      <w:r>
        <w:rPr>
          <w:sz w:val="24"/>
        </w:rPr>
        <w:t>period?</w:t>
      </w:r>
    </w:p>
    <w:p w:rsidR="0037596D" w:rsidRDefault="0037596D">
      <w:pPr>
        <w:pStyle w:val="BodyText"/>
        <w:spacing w:before="11"/>
        <w:rPr>
          <w:sz w:val="23"/>
        </w:rPr>
      </w:pPr>
    </w:p>
    <w:p w:rsidR="0037596D" w:rsidRDefault="00904D3A">
      <w:pPr>
        <w:pStyle w:val="ListParagraph"/>
        <w:numPr>
          <w:ilvl w:val="1"/>
          <w:numId w:val="6"/>
        </w:numPr>
        <w:tabs>
          <w:tab w:val="left" w:pos="1200"/>
        </w:tabs>
        <w:ind w:right="481"/>
        <w:rPr>
          <w:sz w:val="24"/>
        </w:rPr>
      </w:pPr>
      <w:r>
        <w:rPr>
          <w:sz w:val="24"/>
        </w:rPr>
        <w:t>What is the relative importance of the different drivers (objective a) in influencing</w:t>
      </w:r>
      <w:r>
        <w:rPr>
          <w:spacing w:val="-6"/>
          <w:sz w:val="24"/>
        </w:rPr>
        <w:t xml:space="preserve"> </w:t>
      </w:r>
      <w:r>
        <w:rPr>
          <w:sz w:val="24"/>
        </w:rPr>
        <w:t>the</w:t>
      </w:r>
      <w:r>
        <w:rPr>
          <w:spacing w:val="-7"/>
          <w:sz w:val="24"/>
        </w:rPr>
        <w:t xml:space="preserve"> </w:t>
      </w:r>
      <w:r>
        <w:rPr>
          <w:sz w:val="24"/>
        </w:rPr>
        <w:t>variability</w:t>
      </w:r>
      <w:r>
        <w:rPr>
          <w:spacing w:val="-7"/>
          <w:sz w:val="24"/>
        </w:rPr>
        <w:t xml:space="preserve"> </w:t>
      </w:r>
      <w:r>
        <w:rPr>
          <w:sz w:val="24"/>
        </w:rPr>
        <w:t>in</w:t>
      </w:r>
      <w:r>
        <w:rPr>
          <w:spacing w:val="-7"/>
          <w:sz w:val="24"/>
        </w:rPr>
        <w:t xml:space="preserve"> </w:t>
      </w:r>
      <w:r>
        <w:rPr>
          <w:sz w:val="24"/>
        </w:rPr>
        <w:t>stream</w:t>
      </w:r>
      <w:r>
        <w:rPr>
          <w:spacing w:val="-7"/>
          <w:sz w:val="24"/>
        </w:rPr>
        <w:t xml:space="preserve"> </w:t>
      </w:r>
      <w:r>
        <w:rPr>
          <w:sz w:val="24"/>
        </w:rPr>
        <w:t>temperature</w:t>
      </w:r>
      <w:r>
        <w:rPr>
          <w:spacing w:val="-7"/>
          <w:sz w:val="24"/>
        </w:rPr>
        <w:t xml:space="preserve"> </w:t>
      </w:r>
      <w:r>
        <w:rPr>
          <w:sz w:val="24"/>
        </w:rPr>
        <w:t>dynamics</w:t>
      </w:r>
      <w:r>
        <w:rPr>
          <w:spacing w:val="-7"/>
          <w:sz w:val="24"/>
        </w:rPr>
        <w:t xml:space="preserve"> </w:t>
      </w:r>
      <w:r>
        <w:rPr>
          <w:sz w:val="24"/>
        </w:rPr>
        <w:t>(e.g.,</w:t>
      </w:r>
      <w:r>
        <w:rPr>
          <w:spacing w:val="-8"/>
          <w:sz w:val="24"/>
        </w:rPr>
        <w:t xml:space="preserve"> </w:t>
      </w:r>
      <w:r>
        <w:rPr>
          <w:sz w:val="24"/>
        </w:rPr>
        <w:t>maximum, minimum, diurnal variations), dissolved oxygen, and primary productivity during</w:t>
      </w:r>
      <w:r>
        <w:rPr>
          <w:spacing w:val="-6"/>
          <w:sz w:val="24"/>
        </w:rPr>
        <w:t xml:space="preserve"> </w:t>
      </w:r>
      <w:r>
        <w:rPr>
          <w:sz w:val="24"/>
        </w:rPr>
        <w:t>summer</w:t>
      </w:r>
      <w:r>
        <w:rPr>
          <w:spacing w:val="-6"/>
          <w:sz w:val="24"/>
        </w:rPr>
        <w:t xml:space="preserve"> </w:t>
      </w:r>
      <w:r>
        <w:rPr>
          <w:sz w:val="24"/>
        </w:rPr>
        <w:t>low</w:t>
      </w:r>
      <w:r>
        <w:rPr>
          <w:spacing w:val="-6"/>
          <w:sz w:val="24"/>
        </w:rPr>
        <w:t xml:space="preserve"> </w:t>
      </w:r>
      <w:r>
        <w:rPr>
          <w:sz w:val="24"/>
        </w:rPr>
        <w:t>flow</w:t>
      </w:r>
      <w:r>
        <w:rPr>
          <w:spacing w:val="-6"/>
          <w:sz w:val="24"/>
        </w:rPr>
        <w:t xml:space="preserve"> </w:t>
      </w:r>
      <w:r>
        <w:rPr>
          <w:sz w:val="24"/>
        </w:rPr>
        <w:t>across</w:t>
      </w:r>
      <w:r>
        <w:rPr>
          <w:spacing w:val="-6"/>
          <w:sz w:val="24"/>
        </w:rPr>
        <w:t xml:space="preserve"> </w:t>
      </w:r>
      <w:r>
        <w:rPr>
          <w:sz w:val="24"/>
        </w:rPr>
        <w:t>different</w:t>
      </w:r>
      <w:r>
        <w:rPr>
          <w:spacing w:val="-6"/>
          <w:sz w:val="24"/>
        </w:rPr>
        <w:t xml:space="preserve"> </w:t>
      </w:r>
      <w:r>
        <w:rPr>
          <w:sz w:val="24"/>
        </w:rPr>
        <w:t>Class</w:t>
      </w:r>
      <w:r>
        <w:rPr>
          <w:spacing w:val="-6"/>
          <w:sz w:val="24"/>
        </w:rPr>
        <w:t xml:space="preserve"> </w:t>
      </w:r>
      <w:r>
        <w:rPr>
          <w:sz w:val="24"/>
        </w:rPr>
        <w:t>II</w:t>
      </w:r>
      <w:r>
        <w:rPr>
          <w:spacing w:val="-6"/>
          <w:sz w:val="24"/>
        </w:rPr>
        <w:t xml:space="preserve"> </w:t>
      </w:r>
      <w:r>
        <w:rPr>
          <w:sz w:val="24"/>
        </w:rPr>
        <w:t>WLPZ</w:t>
      </w:r>
      <w:r>
        <w:rPr>
          <w:spacing w:val="-6"/>
          <w:sz w:val="24"/>
        </w:rPr>
        <w:t xml:space="preserve"> </w:t>
      </w:r>
      <w:r>
        <w:rPr>
          <w:sz w:val="24"/>
        </w:rPr>
        <w:t>prescriptions?</w:t>
      </w:r>
    </w:p>
    <w:p w:rsidR="0037596D" w:rsidRDefault="0037596D">
      <w:pPr>
        <w:pStyle w:val="BodyText"/>
        <w:spacing w:before="11"/>
        <w:rPr>
          <w:sz w:val="23"/>
        </w:rPr>
      </w:pPr>
    </w:p>
    <w:p w:rsidR="0037596D" w:rsidRDefault="00904D3A">
      <w:pPr>
        <w:pStyle w:val="ListParagraph"/>
        <w:numPr>
          <w:ilvl w:val="1"/>
          <w:numId w:val="6"/>
        </w:numPr>
        <w:tabs>
          <w:tab w:val="left" w:pos="1200"/>
        </w:tabs>
        <w:ind w:right="225"/>
        <w:rPr>
          <w:sz w:val="24"/>
        </w:rPr>
      </w:pPr>
      <w:r>
        <w:rPr>
          <w:sz w:val="24"/>
        </w:rPr>
        <w:t>Integrate the data from objectives (a) and (b) to develop a model to improve understanding of the effectiveness of different Class II WLPZ prescriptions at mitigating undesirable changes in stream temperature and primary productivity following forest harvesting activities across a range of</w:t>
      </w:r>
      <w:r>
        <w:rPr>
          <w:spacing w:val="-19"/>
          <w:sz w:val="24"/>
        </w:rPr>
        <w:t xml:space="preserve"> </w:t>
      </w:r>
      <w:r>
        <w:rPr>
          <w:sz w:val="24"/>
        </w:rPr>
        <w:t>scenarios.</w:t>
      </w:r>
    </w:p>
    <w:p w:rsidR="0037596D" w:rsidRDefault="0037596D">
      <w:pPr>
        <w:pStyle w:val="BodyText"/>
      </w:pPr>
    </w:p>
    <w:p w:rsidR="0037596D" w:rsidRDefault="00904D3A">
      <w:pPr>
        <w:pStyle w:val="Heading1"/>
        <w:numPr>
          <w:ilvl w:val="0"/>
          <w:numId w:val="6"/>
        </w:numPr>
        <w:tabs>
          <w:tab w:val="left" w:pos="480"/>
        </w:tabs>
        <w:spacing w:before="1"/>
        <w:ind w:right="390"/>
      </w:pPr>
      <w:r>
        <w:t>Critical questions and Relevant Forest Practice Regulations (Please</w:t>
      </w:r>
      <w:r>
        <w:rPr>
          <w:spacing w:val="-36"/>
        </w:rPr>
        <w:t xml:space="preserve"> </w:t>
      </w:r>
      <w:r>
        <w:t>address the critical question, scientific uncertainty, geographic application, and collaboration &amp; feasibility. See the EMC Strategic Plan Appendix F for more info)</w:t>
      </w:r>
    </w:p>
    <w:p w:rsidR="0037596D" w:rsidRDefault="0037596D">
      <w:pPr>
        <w:pStyle w:val="BodyText"/>
        <w:spacing w:before="10"/>
        <w:rPr>
          <w:b/>
          <w:sz w:val="23"/>
        </w:rPr>
      </w:pPr>
    </w:p>
    <w:p w:rsidR="0037596D" w:rsidRDefault="00904D3A">
      <w:pPr>
        <w:pStyle w:val="BodyText"/>
        <w:ind w:left="120" w:right="755"/>
      </w:pPr>
      <w:r>
        <w:rPr>
          <w:b/>
        </w:rPr>
        <w:t>Critical Questions</w:t>
      </w:r>
      <w:r>
        <w:t>: The proposed project will directly contribute knowledge to the following EMC Strategic Plan Themes and Critical Questions:</w:t>
      </w:r>
    </w:p>
    <w:p w:rsidR="0037596D" w:rsidRDefault="0037596D">
      <w:pPr>
        <w:pStyle w:val="BodyText"/>
        <w:spacing w:before="10"/>
        <w:rPr>
          <w:sz w:val="23"/>
        </w:rPr>
      </w:pPr>
    </w:p>
    <w:p w:rsidR="0037596D" w:rsidRDefault="00904D3A">
      <w:pPr>
        <w:pStyle w:val="ListParagraph"/>
        <w:numPr>
          <w:ilvl w:val="0"/>
          <w:numId w:val="5"/>
        </w:numPr>
        <w:tabs>
          <w:tab w:val="left" w:pos="839"/>
          <w:tab w:val="left" w:pos="841"/>
        </w:tabs>
        <w:ind w:right="775" w:hanging="360"/>
        <w:rPr>
          <w:sz w:val="24"/>
        </w:rPr>
      </w:pPr>
      <w:r>
        <w:rPr>
          <w:sz w:val="24"/>
        </w:rPr>
        <w:t>Theme 1: WLPZ Riparian Function. Specifically, the proposed research</w:t>
      </w:r>
      <w:r>
        <w:rPr>
          <w:spacing w:val="-29"/>
          <w:sz w:val="24"/>
        </w:rPr>
        <w:t xml:space="preserve"> </w:t>
      </w:r>
      <w:r>
        <w:rPr>
          <w:sz w:val="24"/>
        </w:rPr>
        <w:t>will address critical questions within this theme regarding, ‘Are the FPRs and associated regulations effective</w:t>
      </w:r>
      <w:r>
        <w:rPr>
          <w:spacing w:val="-30"/>
          <w:sz w:val="24"/>
        </w:rPr>
        <w:t xml:space="preserve"> </w:t>
      </w:r>
      <w:r>
        <w:rPr>
          <w:sz w:val="24"/>
        </w:rPr>
        <w:t>in:</w:t>
      </w:r>
    </w:p>
    <w:p w:rsidR="0037596D" w:rsidRDefault="00904D3A">
      <w:pPr>
        <w:pStyle w:val="ListParagraph"/>
        <w:numPr>
          <w:ilvl w:val="0"/>
          <w:numId w:val="4"/>
        </w:numPr>
        <w:tabs>
          <w:tab w:val="left" w:pos="1921"/>
        </w:tabs>
        <w:ind w:hanging="360"/>
        <w:rPr>
          <w:sz w:val="24"/>
        </w:rPr>
      </w:pPr>
      <w:r>
        <w:rPr>
          <w:sz w:val="24"/>
        </w:rPr>
        <w:t>maintaining and restoring canopy</w:t>
      </w:r>
      <w:r>
        <w:rPr>
          <w:spacing w:val="-20"/>
          <w:sz w:val="24"/>
        </w:rPr>
        <w:t xml:space="preserve"> </w:t>
      </w:r>
      <w:r>
        <w:rPr>
          <w:sz w:val="24"/>
        </w:rPr>
        <w:t>closure?</w:t>
      </w:r>
    </w:p>
    <w:p w:rsidR="0037596D" w:rsidRDefault="00904D3A">
      <w:pPr>
        <w:pStyle w:val="ListParagraph"/>
        <w:numPr>
          <w:ilvl w:val="0"/>
          <w:numId w:val="4"/>
        </w:numPr>
        <w:tabs>
          <w:tab w:val="left" w:pos="1921"/>
        </w:tabs>
        <w:rPr>
          <w:sz w:val="24"/>
        </w:rPr>
      </w:pPr>
      <w:r>
        <w:rPr>
          <w:sz w:val="24"/>
        </w:rPr>
        <w:t>maintaining and restoring stream water</w:t>
      </w:r>
      <w:r>
        <w:rPr>
          <w:spacing w:val="-2"/>
          <w:sz w:val="24"/>
        </w:rPr>
        <w:t xml:space="preserve"> </w:t>
      </w:r>
      <w:r>
        <w:rPr>
          <w:sz w:val="24"/>
        </w:rPr>
        <w:t>temperature?</w:t>
      </w:r>
    </w:p>
    <w:p w:rsidR="0037596D" w:rsidRDefault="00904D3A">
      <w:pPr>
        <w:pStyle w:val="BodyText"/>
        <w:ind w:left="1559" w:right="223"/>
      </w:pPr>
      <w:r>
        <w:t>(d) retaining conifer and deciduous species to maintain or restore riparian shade, water temperature, and primary productivity?</w:t>
      </w:r>
    </w:p>
    <w:p w:rsidR="0037596D" w:rsidRDefault="00904D3A">
      <w:pPr>
        <w:pStyle w:val="BodyText"/>
        <w:ind w:left="1560" w:right="143"/>
      </w:pPr>
      <w:r>
        <w:t>(f) maintaining and restoring riparian function of Class II-L watercourses in the Coast District?</w:t>
      </w:r>
    </w:p>
    <w:p w:rsidR="0037596D" w:rsidRDefault="0037596D">
      <w:pPr>
        <w:sectPr w:rsidR="0037596D">
          <w:pgSz w:w="12240" w:h="15840"/>
          <w:pgMar w:top="1360" w:right="1340" w:bottom="1380" w:left="1320" w:header="0" w:footer="1193" w:gutter="0"/>
          <w:cols w:space="720"/>
        </w:sectPr>
      </w:pPr>
    </w:p>
    <w:p w:rsidR="0037596D" w:rsidRDefault="00904D3A">
      <w:pPr>
        <w:pStyle w:val="BodyText"/>
        <w:spacing w:before="78"/>
        <w:ind w:left="120" w:right="795"/>
      </w:pPr>
      <w:r>
        <w:lastRenderedPageBreak/>
        <w:t>Please see section 4. ‘Research Methods’ of this proposal for details on the study design and methods we plan to use to adequately address the proposed critical questions.</w:t>
      </w:r>
    </w:p>
    <w:p w:rsidR="0037596D" w:rsidRDefault="0037596D">
      <w:pPr>
        <w:pStyle w:val="BodyText"/>
        <w:spacing w:before="11"/>
        <w:rPr>
          <w:sz w:val="23"/>
        </w:rPr>
      </w:pPr>
    </w:p>
    <w:p w:rsidR="0037596D" w:rsidRDefault="00904D3A">
      <w:pPr>
        <w:pStyle w:val="BodyText"/>
        <w:ind w:left="120" w:right="208"/>
      </w:pPr>
      <w:r>
        <w:t xml:space="preserve">While the proposed project will not directly address the following, it is important to note that the data from the proposed project could be used to </w:t>
      </w:r>
      <w:r>
        <w:rPr>
          <w:u w:val="single"/>
        </w:rPr>
        <w:t xml:space="preserve">indirectly </w:t>
      </w:r>
      <w:r>
        <w:t>support and/or provide base data for future research on the following EMC Strategic Plan Themes and Critical Questions:</w:t>
      </w:r>
    </w:p>
    <w:p w:rsidR="0037596D" w:rsidRDefault="0037596D">
      <w:pPr>
        <w:pStyle w:val="BodyText"/>
        <w:spacing w:before="10"/>
        <w:rPr>
          <w:sz w:val="23"/>
        </w:rPr>
      </w:pPr>
    </w:p>
    <w:p w:rsidR="0037596D" w:rsidRDefault="00904D3A">
      <w:pPr>
        <w:pStyle w:val="ListParagraph"/>
        <w:numPr>
          <w:ilvl w:val="0"/>
          <w:numId w:val="5"/>
        </w:numPr>
        <w:tabs>
          <w:tab w:val="left" w:pos="839"/>
          <w:tab w:val="left" w:pos="841"/>
        </w:tabs>
        <w:ind w:right="202" w:hanging="360"/>
        <w:rPr>
          <w:sz w:val="24"/>
        </w:rPr>
      </w:pPr>
      <w:r>
        <w:rPr>
          <w:sz w:val="24"/>
        </w:rPr>
        <w:t>Theme</w:t>
      </w:r>
      <w:r>
        <w:rPr>
          <w:spacing w:val="-6"/>
          <w:sz w:val="24"/>
        </w:rPr>
        <w:t xml:space="preserve"> </w:t>
      </w:r>
      <w:r>
        <w:rPr>
          <w:sz w:val="24"/>
        </w:rPr>
        <w:t>1:</w:t>
      </w:r>
      <w:r>
        <w:rPr>
          <w:spacing w:val="-6"/>
          <w:sz w:val="24"/>
        </w:rPr>
        <w:t xml:space="preserve"> </w:t>
      </w:r>
      <w:r>
        <w:rPr>
          <w:sz w:val="24"/>
        </w:rPr>
        <w:t>WLPZ</w:t>
      </w:r>
      <w:r>
        <w:rPr>
          <w:spacing w:val="-6"/>
          <w:sz w:val="24"/>
        </w:rPr>
        <w:t xml:space="preserve"> </w:t>
      </w:r>
      <w:r>
        <w:rPr>
          <w:sz w:val="24"/>
        </w:rPr>
        <w:t>Riparian</w:t>
      </w:r>
      <w:r>
        <w:rPr>
          <w:spacing w:val="-6"/>
          <w:sz w:val="24"/>
        </w:rPr>
        <w:t xml:space="preserve"> </w:t>
      </w:r>
      <w:r>
        <w:rPr>
          <w:sz w:val="24"/>
        </w:rPr>
        <w:t>Function.</w:t>
      </w:r>
      <w:r>
        <w:rPr>
          <w:spacing w:val="-5"/>
          <w:sz w:val="24"/>
        </w:rPr>
        <w:t xml:space="preserve"> </w:t>
      </w:r>
      <w:r>
        <w:rPr>
          <w:sz w:val="24"/>
        </w:rPr>
        <w:t>(c)</w:t>
      </w:r>
      <w:r>
        <w:rPr>
          <w:spacing w:val="-6"/>
          <w:sz w:val="24"/>
        </w:rPr>
        <w:t xml:space="preserve"> </w:t>
      </w:r>
      <w:r>
        <w:rPr>
          <w:sz w:val="24"/>
        </w:rPr>
        <w:t>Are</w:t>
      </w:r>
      <w:r>
        <w:rPr>
          <w:spacing w:val="-5"/>
          <w:sz w:val="24"/>
        </w:rPr>
        <w:t xml:space="preserve"> </w:t>
      </w:r>
      <w:r>
        <w:rPr>
          <w:sz w:val="24"/>
        </w:rPr>
        <w:t>the</w:t>
      </w:r>
      <w:r>
        <w:rPr>
          <w:spacing w:val="-5"/>
          <w:sz w:val="24"/>
        </w:rPr>
        <w:t xml:space="preserve"> </w:t>
      </w:r>
      <w:r>
        <w:rPr>
          <w:sz w:val="24"/>
        </w:rPr>
        <w:t>FPRs</w:t>
      </w:r>
      <w:r>
        <w:rPr>
          <w:spacing w:val="-5"/>
          <w:sz w:val="24"/>
        </w:rPr>
        <w:t xml:space="preserve"> </w:t>
      </w:r>
      <w:r>
        <w:rPr>
          <w:sz w:val="24"/>
        </w:rPr>
        <w:t>and</w:t>
      </w:r>
      <w:r>
        <w:rPr>
          <w:spacing w:val="-5"/>
          <w:sz w:val="24"/>
        </w:rPr>
        <w:t xml:space="preserve"> </w:t>
      </w:r>
      <w:r>
        <w:rPr>
          <w:sz w:val="24"/>
        </w:rPr>
        <w:t>associated</w:t>
      </w:r>
      <w:r>
        <w:rPr>
          <w:spacing w:val="-6"/>
          <w:sz w:val="24"/>
        </w:rPr>
        <w:t xml:space="preserve"> </w:t>
      </w:r>
      <w:r>
        <w:rPr>
          <w:sz w:val="24"/>
        </w:rPr>
        <w:t>regulations effective in retaining predominant conifers in WLPZs (Implementation and Compliance) and large woody debris input to watercourse</w:t>
      </w:r>
      <w:r>
        <w:rPr>
          <w:spacing w:val="-3"/>
          <w:sz w:val="24"/>
        </w:rPr>
        <w:t xml:space="preserve"> </w:t>
      </w:r>
      <w:r>
        <w:rPr>
          <w:sz w:val="24"/>
        </w:rPr>
        <w:t>channels?</w:t>
      </w:r>
    </w:p>
    <w:p w:rsidR="0037596D" w:rsidRDefault="00904D3A">
      <w:pPr>
        <w:pStyle w:val="ListParagraph"/>
        <w:numPr>
          <w:ilvl w:val="0"/>
          <w:numId w:val="5"/>
        </w:numPr>
        <w:tabs>
          <w:tab w:val="left" w:pos="839"/>
          <w:tab w:val="left" w:pos="841"/>
        </w:tabs>
        <w:ind w:right="308" w:hanging="360"/>
        <w:rPr>
          <w:sz w:val="24"/>
        </w:rPr>
      </w:pPr>
      <w:r>
        <w:rPr>
          <w:sz w:val="24"/>
        </w:rPr>
        <w:t>Theme 5: Fish Habitat. (b) Are the FPRs and associated regulations effective</w:t>
      </w:r>
      <w:r>
        <w:rPr>
          <w:spacing w:val="-26"/>
          <w:sz w:val="24"/>
        </w:rPr>
        <w:t xml:space="preserve"> </w:t>
      </w:r>
      <w:r>
        <w:rPr>
          <w:sz w:val="24"/>
        </w:rPr>
        <w:t>in maintaining and restoring the distribution of foraging, rearing and spawning habitat for anadromous</w:t>
      </w:r>
      <w:r>
        <w:rPr>
          <w:spacing w:val="-28"/>
          <w:sz w:val="24"/>
        </w:rPr>
        <w:t xml:space="preserve"> </w:t>
      </w:r>
      <w:r>
        <w:rPr>
          <w:sz w:val="24"/>
        </w:rPr>
        <w:t>salmonids?</w:t>
      </w:r>
    </w:p>
    <w:p w:rsidR="0037596D" w:rsidRDefault="00904D3A">
      <w:pPr>
        <w:pStyle w:val="ListParagraph"/>
        <w:numPr>
          <w:ilvl w:val="0"/>
          <w:numId w:val="5"/>
        </w:numPr>
        <w:tabs>
          <w:tab w:val="left" w:pos="839"/>
          <w:tab w:val="left" w:pos="841"/>
        </w:tabs>
        <w:ind w:right="841" w:hanging="360"/>
        <w:rPr>
          <w:sz w:val="24"/>
        </w:rPr>
      </w:pPr>
      <w:r>
        <w:rPr>
          <w:sz w:val="24"/>
        </w:rPr>
        <w:t>Theme 8: Wildlife Habitat Seral Stages. (a) Are the FPRs and associated regulations effective in retaining and recruiting late and diverse seral</w:t>
      </w:r>
      <w:r>
        <w:rPr>
          <w:spacing w:val="-44"/>
          <w:sz w:val="24"/>
        </w:rPr>
        <w:t xml:space="preserve"> </w:t>
      </w:r>
      <w:r>
        <w:rPr>
          <w:sz w:val="24"/>
        </w:rPr>
        <w:t>stage habitat components in WLPZs for</w:t>
      </w:r>
      <w:r>
        <w:rPr>
          <w:spacing w:val="-37"/>
          <w:sz w:val="24"/>
        </w:rPr>
        <w:t xml:space="preserve"> </w:t>
      </w:r>
      <w:r>
        <w:rPr>
          <w:sz w:val="24"/>
        </w:rPr>
        <w:t>wildlife?</w:t>
      </w:r>
    </w:p>
    <w:p w:rsidR="0037596D" w:rsidRDefault="0037596D">
      <w:pPr>
        <w:pStyle w:val="BodyText"/>
        <w:spacing w:before="11"/>
        <w:rPr>
          <w:sz w:val="23"/>
        </w:rPr>
      </w:pPr>
    </w:p>
    <w:p w:rsidR="0037596D" w:rsidRDefault="00904D3A">
      <w:pPr>
        <w:pStyle w:val="BodyText"/>
        <w:ind w:left="119" w:right="235"/>
      </w:pPr>
      <w:r>
        <w:rPr>
          <w:b/>
        </w:rPr>
        <w:t>Scientific Uncertainty</w:t>
      </w:r>
      <w:r>
        <w:t>: The effectiveness of current WLPZ regulations at mitigating adverse site-specific and cumulative impacts are particularly important in Class II-L (Large) watercourses. Moreover, interactions between riparian conditions, light levels reaching streams, physical and chemical water quality, and primary productivity are critical knowledge gaps needed to manage riparian zones effectively. However, WLPZ regulations in the state have evolved rapidly. As such, there remains large gaps in our knowledge about the critical functions of WLPZ (additional details in section 1 ‘Background and justification’ of this proposal) necessary to maintain or enhance water quality, aquatic habitat, and wildlife habitat.</w:t>
      </w:r>
    </w:p>
    <w:p w:rsidR="0037596D" w:rsidRDefault="0037596D">
      <w:pPr>
        <w:pStyle w:val="BodyText"/>
      </w:pPr>
    </w:p>
    <w:p w:rsidR="0037596D" w:rsidRDefault="00904D3A">
      <w:pPr>
        <w:pStyle w:val="BodyText"/>
        <w:ind w:left="119" w:right="160"/>
      </w:pPr>
      <w:r>
        <w:rPr>
          <w:b/>
        </w:rPr>
        <w:t>Geographic Application</w:t>
      </w:r>
      <w:r>
        <w:t>: Research results will be directly relevant and applicable to the Coast Forest District within the Coastal Anadromy Zone (CAZ), which is a sub- region covered by the Anadromous Salmonid Protection (ASP) Rules. Increased process-based understanding may also inform current knowledge gaps and future research needs in the North Forest District of the CAZ, Southern Subdistrict of the CAZ, the Current Listed Salmonid Range outside of the CAZ, and more broadly to WLPZs outside of the ASP.</w:t>
      </w:r>
    </w:p>
    <w:p w:rsidR="0037596D" w:rsidRDefault="0037596D">
      <w:pPr>
        <w:pStyle w:val="BodyText"/>
      </w:pPr>
    </w:p>
    <w:p w:rsidR="0037596D" w:rsidRDefault="00904D3A">
      <w:pPr>
        <w:pStyle w:val="BodyText"/>
        <w:ind w:left="119" w:right="289"/>
      </w:pPr>
      <w:r>
        <w:rPr>
          <w:b/>
        </w:rPr>
        <w:t>Collaboration</w:t>
      </w:r>
      <w:r>
        <w:t>: The proposed project will be a multidisciplinary (e.g., foresters, hydrologists, geomorphologists, fish and wildlife ecologists) effort, involving individuals from academic, state agencies, and private industry. Base data (e.g., riparian stand structure) will be made available to collaborators to facilitate related research (e.g., large wood, terrestrial habitat), which has been discussed but is not part of this proposal.</w:t>
      </w:r>
    </w:p>
    <w:p w:rsidR="0037596D" w:rsidRDefault="0037596D">
      <w:pPr>
        <w:sectPr w:rsidR="0037596D">
          <w:pgSz w:w="12240" w:h="15840"/>
          <w:pgMar w:top="1360" w:right="1340" w:bottom="1380" w:left="1320" w:header="0" w:footer="1193" w:gutter="0"/>
          <w:cols w:space="720"/>
        </w:sectPr>
      </w:pPr>
    </w:p>
    <w:p w:rsidR="0037596D" w:rsidRDefault="00904D3A">
      <w:pPr>
        <w:pStyle w:val="Heading1"/>
        <w:numPr>
          <w:ilvl w:val="0"/>
          <w:numId w:val="6"/>
        </w:numPr>
        <w:tabs>
          <w:tab w:val="left" w:pos="480"/>
        </w:tabs>
        <w:spacing w:before="79"/>
        <w:ind w:left="479" w:hanging="359"/>
      </w:pPr>
      <w:r>
        <w:lastRenderedPageBreak/>
        <w:t>Describe Research</w:t>
      </w:r>
      <w:r>
        <w:rPr>
          <w:spacing w:val="-2"/>
        </w:rPr>
        <w:t xml:space="preserve"> </w:t>
      </w:r>
      <w:r>
        <w:t>Methods</w:t>
      </w:r>
    </w:p>
    <w:p w:rsidR="0037596D" w:rsidRDefault="0037596D">
      <w:pPr>
        <w:pStyle w:val="BodyText"/>
        <w:spacing w:before="10"/>
        <w:rPr>
          <w:b/>
          <w:sz w:val="23"/>
        </w:rPr>
      </w:pPr>
    </w:p>
    <w:p w:rsidR="0037596D" w:rsidRDefault="00904D3A">
      <w:pPr>
        <w:pStyle w:val="BodyText"/>
        <w:ind w:left="119" w:right="119" w:firstLine="720"/>
      </w:pPr>
      <w:r>
        <w:t>To fulfill the objectives of this study we will implement a Before-After Control- Impact (BACI) study design on GDRC holdings in the coastal anadromy zone (CAZ). We have identified 26 potential Class II-L stream reaches on GDRC holdings, which could be used for this study (Figures 1 and 2). Specifically, we have identified 17 potential stream reaches to be harvested and 6–9 potential reference stream reaches that will remain unharvested through the duration of the study. Our target, is to instrument 18 stream reaches, which would include 4 replicates of 3 WLPZ prescriptions (12 harvested stream reaches), plus 6 references streams. Specifically, the WLPZ prescriptions would include, but are not limited to: (a) ASP Coastal Anadromy Zone Class II-L Prescription – 30 foot core zone; 70 foot inner zone with 80 percent overstory canopy cover, (b) GDRC Habitat Conservation Plan (HCP) Prescription – 30 foot inner zone with 85 percent overstory canopy; 70 foot outer zone with 70 percent overstory canopy cover, and (c) alternative prescription resembling pre-ASP prescription – 100 foot zone with 50 percent overstory canopy. In the following sub- sections, we provide additional details about the methods we plan to use to adequately address the proposed critical</w:t>
      </w:r>
      <w:r>
        <w:rPr>
          <w:spacing w:val="-1"/>
        </w:rPr>
        <w:t xml:space="preserve"> </w:t>
      </w:r>
      <w:r>
        <w:t>questions.</w:t>
      </w:r>
    </w:p>
    <w:p w:rsidR="0037596D" w:rsidRDefault="0037596D">
      <w:pPr>
        <w:pStyle w:val="BodyText"/>
        <w:spacing w:before="1"/>
      </w:pPr>
    </w:p>
    <w:p w:rsidR="0037596D" w:rsidRDefault="00904D3A">
      <w:pPr>
        <w:pStyle w:val="Heading2"/>
        <w:ind w:firstLine="0"/>
      </w:pPr>
      <w:r>
        <w:t>4.1 WLPZ stand structure and canopy closure</w:t>
      </w:r>
    </w:p>
    <w:p w:rsidR="0037596D" w:rsidRDefault="0037596D">
      <w:pPr>
        <w:pStyle w:val="BodyText"/>
        <w:spacing w:before="10"/>
        <w:rPr>
          <w:b/>
          <w:i/>
          <w:sz w:val="23"/>
        </w:rPr>
      </w:pPr>
    </w:p>
    <w:p w:rsidR="0037596D" w:rsidRDefault="00904D3A">
      <w:pPr>
        <w:pStyle w:val="BodyText"/>
        <w:ind w:left="119" w:right="89" w:firstLine="720"/>
      </w:pPr>
      <w:r>
        <w:t>We will collect pre- and post-treatment data on WLPZ stand structure from ~5–7 fixed area plots along each of the 12 prescription and 6 reference stream reaches (~90– 126 plots total). Fixed area plots will be approximately 1/10 acre (~400 m</w:t>
      </w:r>
      <w:r>
        <w:rPr>
          <w:position w:val="8"/>
          <w:sz w:val="16"/>
        </w:rPr>
        <w:t>2</w:t>
      </w:r>
      <w:r>
        <w:t>). Data will be collected on all standing live and dead trees with diameters ≥ 4 inches (&gt;10 cm) at breast height [4.5 ft (1.37 m) above ground] that are within the WLPZ. We will record the following data for each tree: condition (live or dead), species, diameter at breast height (DBH), distance and azimuth from plot center. The canopy class (overstory, understory, or open) will be recorded for all live trees. Data recorded for dead trees includes decay class and mortality agent (e.g., wind, erosion, suppression, fire, insects, disease, and physical damage) when it is possible to determine. This foundational data is necessary to determine characteristics of the WLPZ likely to control its effectiveness and to interpret other data from this study.</w:t>
      </w:r>
    </w:p>
    <w:p w:rsidR="0037596D" w:rsidRDefault="00904D3A">
      <w:pPr>
        <w:pStyle w:val="BodyText"/>
        <w:ind w:left="120" w:right="135" w:firstLine="720"/>
      </w:pPr>
      <w:r>
        <w:t>The WLPZ prescriptions will be implemented to meet the specified retention requirements for canopy cover. We will use hemispherical photography to relate canopy cover requirements to canopy closure, and assess effectiveness of the WLPZ at influencing solar radiation transmission to the stream. Hemispherical photographs will be taken over the center of the stream along all reaches in the study to adequately characterize the entire WLPZ in all stream reaches (~5–7 per stream reach; ~90–126 total). All photographs will be taken vertically up into the canopy from directly over the stream with a Nikon D7100 equipped with a Sigma 45 mm f2.8 circular fisheye lens.</w:t>
      </w:r>
    </w:p>
    <w:p w:rsidR="0037596D" w:rsidRDefault="00904D3A">
      <w:pPr>
        <w:pStyle w:val="BodyText"/>
        <w:ind w:left="120" w:right="128"/>
      </w:pPr>
      <w:r>
        <w:t xml:space="preserve">Photographs will be taken following the recommended standard protocols for exposure, leveling, and image processing (Beckschäfer </w:t>
      </w:r>
      <w:r>
        <w:rPr>
          <w:i/>
        </w:rPr>
        <w:t>et al.</w:t>
      </w:r>
      <w:r>
        <w:t xml:space="preserve">, 2013; Glatthorn and Beckschäfer, 2014; Origo </w:t>
      </w:r>
      <w:r>
        <w:rPr>
          <w:i/>
        </w:rPr>
        <w:t>et al.</w:t>
      </w:r>
      <w:r>
        <w:t>, 2017). The resulting photographs record the sky visible through gaps in the forest canopy, as well as the structure of the canopy (e.g., LAI). We will use these features of the photographs to estimate solar radiation transmitted through (or</w:t>
      </w:r>
    </w:p>
    <w:p w:rsidR="0037596D" w:rsidRDefault="0037596D">
      <w:pPr>
        <w:sectPr w:rsidR="0037596D">
          <w:pgSz w:w="12240" w:h="15840"/>
          <w:pgMar w:top="1360" w:right="1340" w:bottom="1380" w:left="1320" w:header="0" w:footer="1193" w:gutter="0"/>
          <w:cols w:space="720"/>
        </w:sectPr>
      </w:pPr>
    </w:p>
    <w:p w:rsidR="0037596D" w:rsidRDefault="00904D3A">
      <w:pPr>
        <w:pStyle w:val="BodyText"/>
        <w:spacing w:before="78"/>
        <w:ind w:left="120" w:right="1115"/>
      </w:pPr>
      <w:r>
        <w:lastRenderedPageBreak/>
        <w:t xml:space="preserve">intercepted by) the WLPZ, which would then be received at the stream surface (Gonsamo </w:t>
      </w:r>
      <w:r>
        <w:rPr>
          <w:i/>
        </w:rPr>
        <w:t>et al.</w:t>
      </w:r>
      <w:r>
        <w:t>, 2011).</w:t>
      </w:r>
    </w:p>
    <w:p w:rsidR="0037596D" w:rsidRDefault="00904D3A">
      <w:pPr>
        <w:pStyle w:val="BodyText"/>
        <w:ind w:left="119" w:right="89" w:firstLine="720"/>
      </w:pPr>
      <w:r>
        <w:t xml:space="preserve">Plot inventory information will be entered into the United States Forest Service’s (USFS) Forest Vegetation Simulator (FVS). FVS is a distance-independent, individual tree forest growth model developed by the USFS that has been used to project forest stand development in the Pacific Northwest (Pollock and Beechie, 2014). Extensive information regarding FVS can be found at </w:t>
      </w:r>
      <w:hyperlink r:id="rId12">
        <w:r>
          <w:rPr>
            <w:color w:val="0000FF"/>
            <w:u w:val="single" w:color="0000FF"/>
          </w:rPr>
          <w:t>www.fs.fed.us/fmsc/fvs/</w:t>
        </w:r>
        <w:r>
          <w:t>.</w:t>
        </w:r>
      </w:hyperlink>
      <w:r>
        <w:t xml:space="preserve"> The Pacific Northwest variant will be used. Metrics which will be evaluated through the model over a 200 year period will be average tree diameter, stand density, height, and deadwood density.</w:t>
      </w:r>
    </w:p>
    <w:p w:rsidR="0037596D" w:rsidRDefault="0037596D">
      <w:pPr>
        <w:pStyle w:val="BodyText"/>
        <w:spacing w:before="1"/>
      </w:pPr>
    </w:p>
    <w:p w:rsidR="0037596D" w:rsidRDefault="00904D3A">
      <w:pPr>
        <w:pStyle w:val="Heading2"/>
        <w:numPr>
          <w:ilvl w:val="1"/>
          <w:numId w:val="3"/>
        </w:numPr>
        <w:tabs>
          <w:tab w:val="left" w:pos="588"/>
        </w:tabs>
        <w:ind w:hanging="467"/>
      </w:pPr>
      <w:r>
        <w:t>Stream temperature</w:t>
      </w:r>
      <w:r>
        <w:rPr>
          <w:spacing w:val="-27"/>
        </w:rPr>
        <w:t xml:space="preserve"> </w:t>
      </w:r>
      <w:r>
        <w:t>measurements</w:t>
      </w:r>
    </w:p>
    <w:p w:rsidR="0037596D" w:rsidRDefault="0037596D">
      <w:pPr>
        <w:pStyle w:val="BodyText"/>
        <w:spacing w:before="10"/>
        <w:rPr>
          <w:b/>
          <w:i/>
          <w:sz w:val="23"/>
        </w:rPr>
      </w:pPr>
    </w:p>
    <w:p w:rsidR="0037596D" w:rsidRDefault="00904D3A">
      <w:pPr>
        <w:pStyle w:val="BodyText"/>
        <w:ind w:left="120" w:right="169" w:firstLine="720"/>
      </w:pPr>
      <w:r>
        <w:t>Stream temperature is a critical physical water quality parameter that governs in- stream processes such as metabolism, gas solubility (e.g., DO), organic matter decomposition, with potentially related effects on stream biota (Johnson, 2004). As such, we will measure stream temperature (</w:t>
      </w:r>
      <w:r>
        <w:rPr>
          <w:i/>
        </w:rPr>
        <w:t>T</w:t>
      </w:r>
      <w:r>
        <w:rPr>
          <w:i/>
          <w:position w:val="-1"/>
          <w:sz w:val="16"/>
        </w:rPr>
        <w:t>s</w:t>
      </w:r>
      <w:r>
        <w:t>) along each stream reach using thermistors (Onset TidbiT v2 Water Temperature Data Logger) programmed to collect data at 30-minute intervals. We will pair stream temperature (</w:t>
      </w:r>
      <w:r>
        <w:rPr>
          <w:i/>
        </w:rPr>
        <w:t>T</w:t>
      </w:r>
      <w:r>
        <w:rPr>
          <w:i/>
          <w:position w:val="-1"/>
          <w:sz w:val="16"/>
        </w:rPr>
        <w:t>s</w:t>
      </w:r>
      <w:r>
        <w:t>) loggers with air temperature (</w:t>
      </w:r>
      <w:r>
        <w:rPr>
          <w:i/>
        </w:rPr>
        <w:t>T</w:t>
      </w:r>
      <w:r>
        <w:rPr>
          <w:i/>
          <w:position w:val="-1"/>
          <w:sz w:val="16"/>
        </w:rPr>
        <w:t>a</w:t>
      </w:r>
      <w:r>
        <w:t xml:space="preserve">) data loggers to develop direct, local relationships between </w:t>
      </w:r>
      <w:r>
        <w:rPr>
          <w:i/>
        </w:rPr>
        <w:t>T</w:t>
      </w:r>
      <w:r>
        <w:rPr>
          <w:i/>
          <w:position w:val="-1"/>
          <w:sz w:val="16"/>
        </w:rPr>
        <w:t xml:space="preserve">s </w:t>
      </w:r>
      <w:r>
        <w:t xml:space="preserve">and </w:t>
      </w:r>
      <w:r>
        <w:rPr>
          <w:i/>
        </w:rPr>
        <w:t>T</w:t>
      </w:r>
      <w:r>
        <w:rPr>
          <w:i/>
          <w:position w:val="-1"/>
          <w:sz w:val="16"/>
        </w:rPr>
        <w:t>a</w:t>
      </w:r>
      <w:r>
        <w:t>. All in-stream loggers will be placed along the thalweg in riffle sections (avoiding stagnant pools) of each of the 12 streams in the treated watersheds and 6 reference watersheds (~8–12 loggers per stream) (Figure 3). Analytically, we will test for differences in stream temperature dynamics (e.g., maximum, minimum, mean, diurnal variations) across the different WLPZ prescriptions, which will provide critical insights into WLPZ effectiveness. Moreover, we will investigate variations in longitudinal stream temperature in all study reaches. This aspect of the study may be leveraged to provide broader insights beyond the Coast District. This will be achieved by comparing and contrasting the data we will collect with data currently being collected at the Jackson and LaTour Demonstration State Forests (since 2017) as part of a previously funded EMC project (“Multiscale investigation of perennial flow and thermal influence of headwater streams into fish bearing systems”).</w:t>
      </w:r>
    </w:p>
    <w:p w:rsidR="0037596D" w:rsidRDefault="0037596D">
      <w:pPr>
        <w:pStyle w:val="BodyText"/>
        <w:spacing w:before="1"/>
      </w:pPr>
    </w:p>
    <w:p w:rsidR="0037596D" w:rsidRDefault="00904D3A">
      <w:pPr>
        <w:pStyle w:val="Heading2"/>
        <w:numPr>
          <w:ilvl w:val="1"/>
          <w:numId w:val="3"/>
        </w:numPr>
        <w:tabs>
          <w:tab w:val="left" w:pos="588"/>
        </w:tabs>
        <w:ind w:hanging="467"/>
      </w:pPr>
      <w:r>
        <w:t>Primary productivity</w:t>
      </w:r>
    </w:p>
    <w:p w:rsidR="0037596D" w:rsidRDefault="0037596D">
      <w:pPr>
        <w:pStyle w:val="BodyText"/>
        <w:spacing w:before="10"/>
        <w:rPr>
          <w:b/>
          <w:i/>
          <w:sz w:val="23"/>
        </w:rPr>
      </w:pPr>
    </w:p>
    <w:p w:rsidR="0037596D" w:rsidRDefault="00904D3A">
      <w:pPr>
        <w:pStyle w:val="BodyText"/>
        <w:ind w:left="120" w:right="106" w:firstLine="720"/>
      </w:pPr>
      <w:r>
        <w:t xml:space="preserve">Primary productivity is a critical component of aquatic ecosystems, providing food for invertebrates, thus supporting salmonid production. Primary productivity is influenced by stream temperature, light levels reaching streams, and nutrient availability (Morin </w:t>
      </w:r>
      <w:r>
        <w:rPr>
          <w:i/>
        </w:rPr>
        <w:t>et al.</w:t>
      </w:r>
      <w:r>
        <w:t>, 1999; Kiffney and Bull, 2000). However, it remains uncertain how riparian conditions influence these potential drivers and, therefore, in-stream primary productivity.</w:t>
      </w:r>
    </w:p>
    <w:p w:rsidR="0037596D" w:rsidRDefault="00904D3A">
      <w:pPr>
        <w:pStyle w:val="BodyText"/>
        <w:ind w:left="120" w:right="146" w:firstLine="720"/>
      </w:pPr>
      <w:r>
        <w:t xml:space="preserve">To address critical questions related to this uncertainty, we with quantify summer stream periphyton. Specifically, we will measure benthic algal biomass with a BenthoTorch (BBE Moldaenke; http://www.bbe-moldaenke.de) at each of the stream temperature locations. The Benthotorch is a hand-held, fluorimeter that estimates </w:t>
      </w:r>
      <w:r>
        <w:rPr>
          <w:i/>
        </w:rPr>
        <w:t xml:space="preserve">in situ </w:t>
      </w:r>
      <w:r>
        <w:t>chlorophyll-</w:t>
      </w:r>
      <w:r>
        <w:rPr>
          <w:i/>
        </w:rPr>
        <w:t xml:space="preserve">a </w:t>
      </w:r>
      <w:r>
        <w:t>(chl-</w:t>
      </w:r>
      <w:r>
        <w:rPr>
          <w:i/>
        </w:rPr>
        <w:t>a</w:t>
      </w:r>
      <w:r>
        <w:t>) concentrations from the stream substrate based on absorbance of</w:t>
      </w:r>
    </w:p>
    <w:p w:rsidR="0037596D" w:rsidRDefault="0037596D">
      <w:pPr>
        <w:sectPr w:rsidR="0037596D">
          <w:pgSz w:w="12240" w:h="15840"/>
          <w:pgMar w:top="1360" w:right="1340" w:bottom="1380" w:left="1320" w:header="0" w:footer="1193" w:gutter="0"/>
          <w:cols w:space="720"/>
        </w:sectPr>
      </w:pPr>
    </w:p>
    <w:p w:rsidR="0037596D" w:rsidRDefault="00904D3A">
      <w:pPr>
        <w:pStyle w:val="BodyText"/>
        <w:spacing w:before="78"/>
        <w:ind w:left="120" w:right="275"/>
      </w:pPr>
      <w:r>
        <w:lastRenderedPageBreak/>
        <w:t>fluorescent light (Kahlert and McKie, 2014). Chl-</w:t>
      </w:r>
      <w:r>
        <w:rPr>
          <w:i/>
        </w:rPr>
        <w:t xml:space="preserve">a </w:t>
      </w:r>
      <w:r>
        <w:t>is the dominant photosynthetic pigment of benthic algae in streams, so it provides an approximate estimate of primary productivity (Gregory, 1980). We will collect measurements at 3–5 replicate locations randomly selected around each stream temperature sensor (~648–1080 total).</w:t>
      </w:r>
    </w:p>
    <w:p w:rsidR="0037596D" w:rsidRDefault="00904D3A">
      <w:pPr>
        <w:pStyle w:val="BodyText"/>
        <w:ind w:left="119" w:right="88" w:firstLine="720"/>
      </w:pPr>
      <w:r>
        <w:t xml:space="preserve">Field measurements with the Benthotorch will be compared against the standard brush sampling/ethanol extraction/spectrophotometric analysis method to assess the accuracy and comparability of the different measurement techniques (Marker </w:t>
      </w:r>
      <w:r>
        <w:rPr>
          <w:i/>
        </w:rPr>
        <w:t>et al.</w:t>
      </w:r>
      <w:r>
        <w:t>, 1980; Nusch, 1980). Locations near the BenthoTorch sites will be selected randomly; sample rocks will be covered with a cap of similar diameter to the measurement surface of the BenthoTorch (3 cm vs 1 cm for the cap and BenthoTorch respectively). The cap will remain in place while the remainder of the rock will be scrubbed with a nylon brush and rinsed. Following the rinsing procedure, the cap will be removed and the area below will be scrubbed vigorously with a nylon brush. This procedure will be repeated two additional times to collected a composite sample. The removed material from the small diameter sampling surface will be placed into a 250 mL bottle and topped off to 250 mL with stream water. The samples will be kept cold prior to transport to the laboratory. In the laboratory, the samples will be filtered in the dark (0.7 μm glass fiber filters). Filters will be stored in centrifuge tubes at -20°C for 18 days prior to extraction using sonication and hot 95% ethanol. Chl-</w:t>
      </w:r>
      <w:r>
        <w:rPr>
          <w:i/>
        </w:rPr>
        <w:t xml:space="preserve">a </w:t>
      </w:r>
      <w:r>
        <w:t>concentrations of the extractant will measured using a spectrophotometer and not corrected for phaeophytin as the BenthoTorch cannot distinguish between photoactive pigments.</w:t>
      </w:r>
    </w:p>
    <w:p w:rsidR="0037596D" w:rsidRDefault="00904D3A">
      <w:pPr>
        <w:pStyle w:val="BodyText"/>
        <w:ind w:left="119" w:right="130" w:firstLine="720"/>
      </w:pPr>
      <w:r>
        <w:t xml:space="preserve">While the </w:t>
      </w:r>
      <w:r>
        <w:rPr>
          <w:i/>
        </w:rPr>
        <w:t xml:space="preserve">in situ </w:t>
      </w:r>
      <w:r>
        <w:t xml:space="preserve">Chl </w:t>
      </w:r>
      <w:r>
        <w:rPr>
          <w:i/>
        </w:rPr>
        <w:t xml:space="preserve">a </w:t>
      </w:r>
      <w:r>
        <w:t>provides a surrogate for primary productivity at explicit spatial locations, it does not account for the energy usage during respiration by benthic primary producers. Comparatively, estimates of whole stream metabolism can account for it, providing a better estimate of energy availability to upper trophic levels. More specifically, whole-stream metabolism quantifies carbon cycling in streams and is an empirical measure of carbon fixed and respired in the ecosystem, providing an estimate of gross primary productivity (GPP) and ecosystem respiration (ER). As such, we will measure whole stream metabolism for 4–6 weeks on each study stream during summer low flows. To accomplish this we will incorporate measurements of stream temperature with additional measures of DO, PAR, oxygen reaeration rates, and stream discharge.</w:t>
      </w:r>
    </w:p>
    <w:p w:rsidR="0037596D" w:rsidRDefault="00904D3A">
      <w:pPr>
        <w:pStyle w:val="BodyText"/>
        <w:ind w:left="119" w:right="201" w:firstLine="720"/>
      </w:pPr>
      <w:r>
        <w:t xml:space="preserve">Specifically, we will deploy MiniDOT dissolved oxygen (DO) and temperature loggers (Precision Measurement Engineering, Inc.) for continuous measurement (30- min intervals). We will clean DO meters weekly during deployment, as readings on optical DO meters can be impacted by periphyton growth on the surface of the sensor. We will also install photosynthetically active radiation (PAR) sensors (Odyssey PAR Light) along each stream reach to provide high resolution data (30-min interval) on the spectral range (400–700 nm) of solar radiation used by photosynthetic organisms. We will distribute the DO and PAR sensor installations along each of the stream reaches at locations most likely to be representative of reach average values. We will measure </w:t>
      </w:r>
      <w:r>
        <w:rPr>
          <w:position w:val="1"/>
        </w:rPr>
        <w:t>oxygen reaeration rates using a gas tracer (i.e., sulfur hexafluoride or SF</w:t>
      </w:r>
      <w:r>
        <w:rPr>
          <w:sz w:val="16"/>
        </w:rPr>
        <w:t>6</w:t>
      </w:r>
      <w:r>
        <w:rPr>
          <w:position w:val="1"/>
        </w:rPr>
        <w:t xml:space="preserve">) in all stream </w:t>
      </w:r>
      <w:r>
        <w:t xml:space="preserve">reaches (Wanninkhof </w:t>
      </w:r>
      <w:r>
        <w:rPr>
          <w:i/>
        </w:rPr>
        <w:t>et al.</w:t>
      </w:r>
      <w:r>
        <w:t>, 1990).</w:t>
      </w:r>
    </w:p>
    <w:p w:rsidR="0037596D" w:rsidRDefault="00904D3A">
      <w:pPr>
        <w:pStyle w:val="BodyText"/>
        <w:ind w:left="120" w:right="236" w:firstLine="720"/>
      </w:pPr>
      <w:r>
        <w:t>As the stream metabolism model we will use also requires information about the volume of water in the stream, we will install a level logger and barometer (Solinst Canada Ltd.) in each stream reach/watershed (Figures 1 and 2). Stage measurements from the level loggers will be converted to volumetric discharge measurements by</w:t>
      </w:r>
    </w:p>
    <w:p w:rsidR="0037596D" w:rsidRDefault="0037596D">
      <w:pPr>
        <w:sectPr w:rsidR="0037596D">
          <w:pgSz w:w="12240" w:h="15840"/>
          <w:pgMar w:top="1360" w:right="1340" w:bottom="1380" w:left="1320" w:header="0" w:footer="1193" w:gutter="0"/>
          <w:cols w:space="720"/>
        </w:sectPr>
      </w:pPr>
    </w:p>
    <w:p w:rsidR="0037596D" w:rsidRDefault="00904D3A">
      <w:pPr>
        <w:pStyle w:val="BodyText"/>
        <w:spacing w:before="78"/>
        <w:ind w:left="119" w:right="107"/>
      </w:pPr>
      <w:r>
        <w:lastRenderedPageBreak/>
        <w:t xml:space="preserve">developing stage-discharge relationships for each stream using the salt dilution gauging procedure (Moore, 2005). In this protocol, electrical conductivity (EC) measurements will be collected at one-second intervals using a YSI proDSS sensor Sonde (YSI Incorporated, Yellow Springs, OH). A salt slug (1 kg of salt, 6 L of water) will be prepared and dumped ~50 meters upstream of the EC sensor. We will then use the diel temperature, DO, PAR, reaeration, barometric pressure, and discharge data to calculate whole-stream metabolism using the one-station open-water exchange method (Kosinski and Merkle, 1984; Atkinson </w:t>
      </w:r>
      <w:r>
        <w:rPr>
          <w:i/>
        </w:rPr>
        <w:t>et al.</w:t>
      </w:r>
      <w:r>
        <w:t xml:space="preserve">, 2008; Grace </w:t>
      </w:r>
      <w:r>
        <w:rPr>
          <w:i/>
        </w:rPr>
        <w:t>et al.</w:t>
      </w:r>
      <w:r>
        <w:t xml:space="preserve">, 2015). We will determine two ecosystem metrics from these data using an inverse modeling approach based upon the diel oxygen curves (Atkinson </w:t>
      </w:r>
      <w:r>
        <w:rPr>
          <w:i/>
        </w:rPr>
        <w:t>et al.</w:t>
      </w:r>
      <w:r>
        <w:t xml:space="preserve">, 2008; Grace </w:t>
      </w:r>
      <w:r>
        <w:rPr>
          <w:i/>
        </w:rPr>
        <w:t>et al.</w:t>
      </w:r>
      <w:r>
        <w:t>,</w:t>
      </w:r>
      <w:r>
        <w:rPr>
          <w:spacing w:val="-30"/>
        </w:rPr>
        <w:t xml:space="preserve"> </w:t>
      </w:r>
      <w:r>
        <w:t>2015).</w:t>
      </w:r>
    </w:p>
    <w:p w:rsidR="0037596D" w:rsidRDefault="00904D3A">
      <w:pPr>
        <w:pStyle w:val="BodyText"/>
        <w:ind w:left="119" w:right="107" w:firstLine="720"/>
      </w:pPr>
      <w:r>
        <w:t>Finally, riparian conditions and in-stream temperature and DO can also influence nutrient dynamics and primary productivity. Thus, we will also collect stream water samples monthly during the summer for nutrient analysis (nitrogen, phosphorus, dissolved organic carbon). We will collect three replicates of manual depth-integrated water samples at the downstream outlet of each of the study reaches. Water samples will be filtered on site using Whatman GFF filters and then placed on ice in a cooler until frozen within 6 hrs of collection. Samples will be analyzed at OSU’s Institute for Water and Watersheds (IWW) Collaboratory.</w:t>
      </w:r>
    </w:p>
    <w:p w:rsidR="0037596D" w:rsidRDefault="0037596D">
      <w:pPr>
        <w:pStyle w:val="BodyText"/>
        <w:spacing w:before="1"/>
      </w:pPr>
    </w:p>
    <w:p w:rsidR="0037596D" w:rsidRDefault="00904D3A">
      <w:pPr>
        <w:pStyle w:val="Heading1"/>
        <w:numPr>
          <w:ilvl w:val="0"/>
          <w:numId w:val="6"/>
        </w:numPr>
        <w:tabs>
          <w:tab w:val="left" w:pos="480"/>
        </w:tabs>
        <w:ind w:left="479" w:hanging="359"/>
      </w:pPr>
      <w:r>
        <w:t>Describe Project</w:t>
      </w:r>
      <w:r>
        <w:rPr>
          <w:spacing w:val="-2"/>
        </w:rPr>
        <w:t xml:space="preserve"> </w:t>
      </w:r>
      <w:r>
        <w:t>Deliverables</w:t>
      </w:r>
    </w:p>
    <w:p w:rsidR="0037596D" w:rsidRDefault="0037596D">
      <w:pPr>
        <w:pStyle w:val="BodyText"/>
        <w:spacing w:before="10"/>
        <w:rPr>
          <w:b/>
          <w:sz w:val="23"/>
        </w:rPr>
      </w:pPr>
    </w:p>
    <w:p w:rsidR="0037596D" w:rsidRDefault="00904D3A">
      <w:pPr>
        <w:pStyle w:val="BodyText"/>
        <w:ind w:left="119"/>
      </w:pPr>
      <w:r>
        <w:t>As outcomes of the proposed research project, the deliverables will include:</w:t>
      </w:r>
    </w:p>
    <w:p w:rsidR="0037596D" w:rsidRDefault="00904D3A">
      <w:pPr>
        <w:pStyle w:val="ListParagraph"/>
        <w:numPr>
          <w:ilvl w:val="0"/>
          <w:numId w:val="2"/>
        </w:numPr>
        <w:tabs>
          <w:tab w:val="left" w:pos="1259"/>
          <w:tab w:val="left" w:pos="1261"/>
        </w:tabs>
        <w:ind w:right="272" w:hanging="360"/>
        <w:rPr>
          <w:sz w:val="24"/>
        </w:rPr>
      </w:pPr>
      <w:r>
        <w:rPr>
          <w:sz w:val="24"/>
        </w:rPr>
        <w:t>Conduct all planned research and monitoring, data collection and recording, data analysis, and data</w:t>
      </w:r>
      <w:r>
        <w:rPr>
          <w:spacing w:val="-30"/>
          <w:sz w:val="24"/>
        </w:rPr>
        <w:t xml:space="preserve"> </w:t>
      </w:r>
      <w:r>
        <w:rPr>
          <w:sz w:val="24"/>
        </w:rPr>
        <w:t>interpretation.</w:t>
      </w:r>
    </w:p>
    <w:p w:rsidR="0037596D" w:rsidRDefault="00904D3A">
      <w:pPr>
        <w:pStyle w:val="ListParagraph"/>
        <w:numPr>
          <w:ilvl w:val="0"/>
          <w:numId w:val="2"/>
        </w:numPr>
        <w:tabs>
          <w:tab w:val="left" w:pos="1259"/>
          <w:tab w:val="left" w:pos="1261"/>
        </w:tabs>
        <w:ind w:right="221" w:hanging="360"/>
        <w:rPr>
          <w:sz w:val="24"/>
        </w:rPr>
      </w:pPr>
      <w:r>
        <w:rPr>
          <w:sz w:val="24"/>
        </w:rPr>
        <w:t>Digital</w:t>
      </w:r>
      <w:r>
        <w:rPr>
          <w:spacing w:val="-6"/>
          <w:sz w:val="24"/>
        </w:rPr>
        <w:t xml:space="preserve"> </w:t>
      </w:r>
      <w:r>
        <w:rPr>
          <w:sz w:val="24"/>
        </w:rPr>
        <w:t>archives</w:t>
      </w:r>
      <w:r>
        <w:rPr>
          <w:spacing w:val="-6"/>
          <w:sz w:val="24"/>
        </w:rPr>
        <w:t xml:space="preserve"> </w:t>
      </w:r>
      <w:r>
        <w:rPr>
          <w:sz w:val="24"/>
        </w:rPr>
        <w:t>of</w:t>
      </w:r>
      <w:r>
        <w:rPr>
          <w:spacing w:val="-6"/>
          <w:sz w:val="24"/>
        </w:rPr>
        <w:t xml:space="preserve"> </w:t>
      </w:r>
      <w:r>
        <w:rPr>
          <w:sz w:val="24"/>
        </w:rPr>
        <w:t>all</w:t>
      </w:r>
      <w:r>
        <w:rPr>
          <w:spacing w:val="-6"/>
          <w:sz w:val="24"/>
        </w:rPr>
        <w:t xml:space="preserve"> </w:t>
      </w:r>
      <w:r>
        <w:rPr>
          <w:sz w:val="24"/>
        </w:rPr>
        <w:t>raw</w:t>
      </w:r>
      <w:r>
        <w:rPr>
          <w:spacing w:val="-6"/>
          <w:sz w:val="24"/>
        </w:rPr>
        <w:t xml:space="preserve"> </w:t>
      </w:r>
      <w:r>
        <w:rPr>
          <w:sz w:val="24"/>
        </w:rPr>
        <w:t>data,</w:t>
      </w:r>
      <w:r>
        <w:rPr>
          <w:spacing w:val="-6"/>
          <w:sz w:val="24"/>
        </w:rPr>
        <w:t xml:space="preserve"> </w:t>
      </w:r>
      <w:r>
        <w:rPr>
          <w:sz w:val="24"/>
        </w:rPr>
        <w:t>digitally</w:t>
      </w:r>
      <w:r>
        <w:rPr>
          <w:spacing w:val="-6"/>
          <w:sz w:val="24"/>
        </w:rPr>
        <w:t xml:space="preserve"> </w:t>
      </w:r>
      <w:r>
        <w:rPr>
          <w:sz w:val="24"/>
        </w:rPr>
        <w:t>scanned</w:t>
      </w:r>
      <w:r>
        <w:rPr>
          <w:spacing w:val="-6"/>
          <w:sz w:val="24"/>
        </w:rPr>
        <w:t xml:space="preserve"> </w:t>
      </w:r>
      <w:r>
        <w:rPr>
          <w:sz w:val="24"/>
        </w:rPr>
        <w:t>field</w:t>
      </w:r>
      <w:r>
        <w:rPr>
          <w:spacing w:val="-6"/>
          <w:sz w:val="24"/>
        </w:rPr>
        <w:t xml:space="preserve"> </w:t>
      </w:r>
      <w:r>
        <w:rPr>
          <w:sz w:val="24"/>
        </w:rPr>
        <w:t>notes,</w:t>
      </w:r>
      <w:r>
        <w:rPr>
          <w:spacing w:val="-5"/>
          <w:sz w:val="24"/>
        </w:rPr>
        <w:t xml:space="preserve"> </w:t>
      </w:r>
      <w:r>
        <w:rPr>
          <w:sz w:val="24"/>
        </w:rPr>
        <w:t>processed</w:t>
      </w:r>
      <w:r>
        <w:rPr>
          <w:spacing w:val="-5"/>
          <w:sz w:val="24"/>
        </w:rPr>
        <w:t xml:space="preserve"> </w:t>
      </w:r>
      <w:r>
        <w:rPr>
          <w:sz w:val="24"/>
        </w:rPr>
        <w:t>data, and other products produced as a result of this research to facilitate future use of the data for other</w:t>
      </w:r>
      <w:r>
        <w:rPr>
          <w:spacing w:val="-15"/>
          <w:sz w:val="24"/>
        </w:rPr>
        <w:t xml:space="preserve"> </w:t>
      </w:r>
      <w:r>
        <w:rPr>
          <w:sz w:val="24"/>
        </w:rPr>
        <w:t>projects.</w:t>
      </w:r>
    </w:p>
    <w:p w:rsidR="0037596D" w:rsidRDefault="00904D3A">
      <w:pPr>
        <w:pStyle w:val="ListParagraph"/>
        <w:numPr>
          <w:ilvl w:val="0"/>
          <w:numId w:val="2"/>
        </w:numPr>
        <w:tabs>
          <w:tab w:val="left" w:pos="1259"/>
          <w:tab w:val="left" w:pos="1261"/>
        </w:tabs>
        <w:ind w:right="353" w:hanging="360"/>
        <w:rPr>
          <w:sz w:val="24"/>
        </w:rPr>
      </w:pPr>
      <w:r>
        <w:rPr>
          <w:sz w:val="24"/>
        </w:rPr>
        <w:t>Development of a PhD thesis and associated manuscripts for publication in refereed</w:t>
      </w:r>
      <w:r>
        <w:rPr>
          <w:spacing w:val="-17"/>
          <w:sz w:val="24"/>
        </w:rPr>
        <w:t xml:space="preserve"> </w:t>
      </w:r>
      <w:r>
        <w:rPr>
          <w:sz w:val="24"/>
        </w:rPr>
        <w:t>journals.</w:t>
      </w:r>
    </w:p>
    <w:p w:rsidR="0037596D" w:rsidRDefault="00904D3A">
      <w:pPr>
        <w:pStyle w:val="ListParagraph"/>
        <w:numPr>
          <w:ilvl w:val="0"/>
          <w:numId w:val="2"/>
        </w:numPr>
        <w:tabs>
          <w:tab w:val="left" w:pos="1259"/>
          <w:tab w:val="left" w:pos="1261"/>
        </w:tabs>
        <w:ind w:right="433" w:hanging="360"/>
        <w:rPr>
          <w:sz w:val="24"/>
        </w:rPr>
      </w:pPr>
      <w:r>
        <w:rPr>
          <w:sz w:val="24"/>
        </w:rPr>
        <w:t>A technical project report of the final results for the Department of Forestry and Fire</w:t>
      </w:r>
      <w:r>
        <w:rPr>
          <w:spacing w:val="-17"/>
          <w:sz w:val="24"/>
        </w:rPr>
        <w:t xml:space="preserve"> </w:t>
      </w:r>
      <w:r>
        <w:rPr>
          <w:sz w:val="24"/>
        </w:rPr>
        <w:t>Protection.</w:t>
      </w:r>
    </w:p>
    <w:p w:rsidR="0037596D" w:rsidRDefault="00904D3A">
      <w:pPr>
        <w:pStyle w:val="ListParagraph"/>
        <w:numPr>
          <w:ilvl w:val="0"/>
          <w:numId w:val="2"/>
        </w:numPr>
        <w:tabs>
          <w:tab w:val="left" w:pos="1259"/>
          <w:tab w:val="left" w:pos="1261"/>
        </w:tabs>
        <w:ind w:right="1140" w:hanging="360"/>
        <w:rPr>
          <w:sz w:val="24"/>
        </w:rPr>
      </w:pPr>
      <w:r>
        <w:rPr>
          <w:sz w:val="24"/>
        </w:rPr>
        <w:t>Presentations at meetings with stakeholders, funding agencies, and professional workshops and</w:t>
      </w:r>
      <w:r>
        <w:rPr>
          <w:spacing w:val="-1"/>
          <w:sz w:val="24"/>
        </w:rPr>
        <w:t xml:space="preserve"> </w:t>
      </w:r>
      <w:r>
        <w:rPr>
          <w:sz w:val="24"/>
        </w:rPr>
        <w:t>conferences.</w:t>
      </w:r>
    </w:p>
    <w:p w:rsidR="0037596D" w:rsidRDefault="0037596D">
      <w:pPr>
        <w:pStyle w:val="BodyText"/>
        <w:spacing w:before="1"/>
      </w:pPr>
    </w:p>
    <w:p w:rsidR="0037596D" w:rsidRDefault="00904D3A">
      <w:pPr>
        <w:pStyle w:val="Heading1"/>
        <w:numPr>
          <w:ilvl w:val="0"/>
          <w:numId w:val="6"/>
        </w:numPr>
        <w:tabs>
          <w:tab w:val="left" w:pos="480"/>
        </w:tabs>
        <w:ind w:left="479" w:hanging="359"/>
      </w:pPr>
      <w:r>
        <w:t>Anticipated Project</w:t>
      </w:r>
      <w:r>
        <w:rPr>
          <w:spacing w:val="-1"/>
        </w:rPr>
        <w:t xml:space="preserve"> </w:t>
      </w:r>
      <w:r>
        <w:t>Timeline</w:t>
      </w:r>
    </w:p>
    <w:p w:rsidR="0037596D" w:rsidRDefault="0037596D">
      <w:pPr>
        <w:pStyle w:val="BodyText"/>
        <w:spacing w:before="10"/>
        <w:rPr>
          <w:b/>
          <w:sz w:val="23"/>
        </w:rPr>
      </w:pPr>
    </w:p>
    <w:p w:rsidR="0037596D" w:rsidRDefault="00904D3A">
      <w:pPr>
        <w:pStyle w:val="BodyText"/>
        <w:spacing w:line="259" w:lineRule="auto"/>
        <w:ind w:left="119" w:right="88"/>
      </w:pPr>
      <w:r>
        <w:t>The duration of the project will be 4 years starting June 1, 2019 and continuing until May 31, 2023 (Table 2). The timeline presented in Table 2 indicates the core activities associated with each of the main data collection components of the research.</w:t>
      </w:r>
    </w:p>
    <w:p w:rsidR="0037596D" w:rsidRDefault="0037596D">
      <w:pPr>
        <w:spacing w:line="259" w:lineRule="auto"/>
        <w:sectPr w:rsidR="0037596D">
          <w:pgSz w:w="12240" w:h="15840"/>
          <w:pgMar w:top="1360" w:right="1340" w:bottom="1380" w:left="1320" w:header="0" w:footer="1193" w:gutter="0"/>
          <w:cols w:space="720"/>
        </w:sectPr>
      </w:pPr>
    </w:p>
    <w:p w:rsidR="0037596D" w:rsidRDefault="00904D3A">
      <w:pPr>
        <w:pStyle w:val="ListParagraph"/>
        <w:numPr>
          <w:ilvl w:val="0"/>
          <w:numId w:val="6"/>
        </w:numPr>
        <w:tabs>
          <w:tab w:val="left" w:pos="480"/>
        </w:tabs>
        <w:spacing w:before="78"/>
        <w:ind w:left="479" w:hanging="359"/>
        <w:rPr>
          <w:sz w:val="24"/>
        </w:rPr>
      </w:pPr>
      <w:r>
        <w:rPr>
          <w:b/>
          <w:sz w:val="24"/>
        </w:rPr>
        <w:lastRenderedPageBreak/>
        <w:t xml:space="preserve">Requested Funding: </w:t>
      </w:r>
      <w:r>
        <w:rPr>
          <w:sz w:val="24"/>
        </w:rPr>
        <w:t>$694,371 (see budget and budget justification</w:t>
      </w:r>
      <w:r>
        <w:rPr>
          <w:spacing w:val="-41"/>
          <w:sz w:val="24"/>
        </w:rPr>
        <w:t xml:space="preserve"> </w:t>
      </w:r>
      <w:r>
        <w:rPr>
          <w:sz w:val="24"/>
        </w:rPr>
        <w:t>below)</w:t>
      </w:r>
    </w:p>
    <w:p w:rsidR="0037596D" w:rsidRDefault="0037596D">
      <w:pPr>
        <w:pStyle w:val="BodyText"/>
        <w:spacing w:before="1"/>
      </w:pPr>
    </w:p>
    <w:tbl>
      <w:tblPr>
        <w:tblW w:w="0" w:type="auto"/>
        <w:tblInd w:w="11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1493"/>
        <w:gridCol w:w="1310"/>
        <w:gridCol w:w="1310"/>
        <w:gridCol w:w="1310"/>
        <w:gridCol w:w="1310"/>
        <w:gridCol w:w="1310"/>
        <w:gridCol w:w="1310"/>
      </w:tblGrid>
      <w:tr w:rsidR="0037596D" w:rsidTr="0063662C">
        <w:trPr>
          <w:trHeight w:hRule="exact" w:val="254"/>
          <w:tblHeader/>
        </w:trPr>
        <w:tc>
          <w:tcPr>
            <w:tcW w:w="1493" w:type="dxa"/>
            <w:tcBorders>
              <w:bottom w:val="single" w:sz="5" w:space="0" w:color="000000"/>
              <w:right w:val="single" w:sz="3" w:space="0" w:color="000000"/>
            </w:tcBorders>
            <w:shd w:val="clear" w:color="auto" w:fill="151515"/>
          </w:tcPr>
          <w:p w:rsidR="0037596D" w:rsidRDefault="00904D3A">
            <w:pPr>
              <w:pStyle w:val="TableParagraph"/>
              <w:spacing w:before="19"/>
              <w:ind w:left="76" w:right="71"/>
              <w:jc w:val="center"/>
              <w:rPr>
                <w:b/>
                <w:sz w:val="19"/>
              </w:rPr>
            </w:pPr>
            <w:r>
              <w:rPr>
                <w:b/>
                <w:color w:val="FFFFFF"/>
                <w:w w:val="105"/>
                <w:sz w:val="19"/>
              </w:rPr>
              <w:t>Category</w:t>
            </w:r>
          </w:p>
        </w:tc>
        <w:tc>
          <w:tcPr>
            <w:tcW w:w="1310" w:type="dxa"/>
            <w:tcBorders>
              <w:left w:val="single" w:sz="3" w:space="0" w:color="000000"/>
              <w:bottom w:val="single" w:sz="5" w:space="0" w:color="000000"/>
            </w:tcBorders>
            <w:shd w:val="clear" w:color="auto" w:fill="151515"/>
          </w:tcPr>
          <w:p w:rsidR="0037596D" w:rsidRDefault="00904D3A">
            <w:pPr>
              <w:pStyle w:val="TableParagraph"/>
              <w:spacing w:before="19"/>
              <w:ind w:left="169"/>
              <w:jc w:val="left"/>
              <w:rPr>
                <w:b/>
                <w:sz w:val="19"/>
              </w:rPr>
            </w:pPr>
            <w:r>
              <w:rPr>
                <w:b/>
                <w:color w:val="FFFFFF"/>
                <w:w w:val="105"/>
                <w:sz w:val="19"/>
              </w:rPr>
              <w:t>Description</w:t>
            </w:r>
          </w:p>
        </w:tc>
        <w:tc>
          <w:tcPr>
            <w:tcW w:w="1310" w:type="dxa"/>
            <w:tcBorders>
              <w:bottom w:val="single" w:sz="5" w:space="0" w:color="000000"/>
              <w:right w:val="single" w:sz="3" w:space="0" w:color="000000"/>
            </w:tcBorders>
            <w:shd w:val="clear" w:color="auto" w:fill="151515"/>
          </w:tcPr>
          <w:p w:rsidR="0037596D" w:rsidRDefault="00904D3A">
            <w:pPr>
              <w:pStyle w:val="TableParagraph"/>
              <w:spacing w:before="19"/>
              <w:ind w:left="373"/>
              <w:jc w:val="left"/>
              <w:rPr>
                <w:b/>
                <w:sz w:val="19"/>
              </w:rPr>
            </w:pPr>
            <w:r>
              <w:rPr>
                <w:b/>
                <w:color w:val="FFFFFF"/>
                <w:w w:val="105"/>
                <w:sz w:val="19"/>
              </w:rPr>
              <w:t>Year 1</w:t>
            </w:r>
          </w:p>
        </w:tc>
        <w:tc>
          <w:tcPr>
            <w:tcW w:w="1310" w:type="dxa"/>
            <w:tcBorders>
              <w:left w:val="single" w:sz="3" w:space="0" w:color="000000"/>
              <w:bottom w:val="single" w:sz="5" w:space="0" w:color="000000"/>
            </w:tcBorders>
            <w:shd w:val="clear" w:color="auto" w:fill="151515"/>
          </w:tcPr>
          <w:p w:rsidR="0037596D" w:rsidRDefault="00904D3A">
            <w:pPr>
              <w:pStyle w:val="TableParagraph"/>
              <w:spacing w:before="19"/>
              <w:ind w:left="373"/>
              <w:jc w:val="left"/>
              <w:rPr>
                <w:b/>
                <w:sz w:val="19"/>
              </w:rPr>
            </w:pPr>
            <w:r>
              <w:rPr>
                <w:b/>
                <w:color w:val="FFFFFF"/>
                <w:w w:val="105"/>
                <w:sz w:val="19"/>
              </w:rPr>
              <w:t>Year 2</w:t>
            </w:r>
          </w:p>
        </w:tc>
        <w:tc>
          <w:tcPr>
            <w:tcW w:w="1310" w:type="dxa"/>
            <w:tcBorders>
              <w:bottom w:val="single" w:sz="5" w:space="0" w:color="000000"/>
              <w:right w:val="single" w:sz="3" w:space="0" w:color="000000"/>
            </w:tcBorders>
            <w:shd w:val="clear" w:color="auto" w:fill="151515"/>
          </w:tcPr>
          <w:p w:rsidR="0037596D" w:rsidRDefault="00904D3A">
            <w:pPr>
              <w:pStyle w:val="TableParagraph"/>
              <w:spacing w:before="19"/>
              <w:ind w:left="373"/>
              <w:jc w:val="left"/>
              <w:rPr>
                <w:b/>
                <w:sz w:val="19"/>
              </w:rPr>
            </w:pPr>
            <w:r>
              <w:rPr>
                <w:b/>
                <w:color w:val="FFFFFF"/>
                <w:w w:val="105"/>
                <w:sz w:val="19"/>
              </w:rPr>
              <w:t>Year 3</w:t>
            </w:r>
          </w:p>
        </w:tc>
        <w:tc>
          <w:tcPr>
            <w:tcW w:w="1310" w:type="dxa"/>
            <w:tcBorders>
              <w:left w:val="single" w:sz="3" w:space="0" w:color="000000"/>
              <w:bottom w:val="single" w:sz="5" w:space="0" w:color="000000"/>
            </w:tcBorders>
            <w:shd w:val="clear" w:color="auto" w:fill="151515"/>
          </w:tcPr>
          <w:p w:rsidR="0037596D" w:rsidRDefault="00904D3A">
            <w:pPr>
              <w:pStyle w:val="TableParagraph"/>
              <w:spacing w:before="19"/>
              <w:ind w:left="373"/>
              <w:jc w:val="left"/>
              <w:rPr>
                <w:b/>
                <w:sz w:val="19"/>
              </w:rPr>
            </w:pPr>
            <w:r>
              <w:rPr>
                <w:b/>
                <w:color w:val="FFFFFF"/>
                <w:w w:val="105"/>
                <w:sz w:val="19"/>
              </w:rPr>
              <w:t>Year 4</w:t>
            </w:r>
          </w:p>
        </w:tc>
        <w:tc>
          <w:tcPr>
            <w:tcW w:w="1310" w:type="dxa"/>
            <w:tcBorders>
              <w:bottom w:val="single" w:sz="5" w:space="0" w:color="000000"/>
              <w:right w:val="single" w:sz="3" w:space="0" w:color="000000"/>
            </w:tcBorders>
            <w:shd w:val="clear" w:color="auto" w:fill="151515"/>
          </w:tcPr>
          <w:p w:rsidR="0037596D" w:rsidRDefault="00904D3A">
            <w:pPr>
              <w:pStyle w:val="TableParagraph"/>
              <w:spacing w:before="19"/>
              <w:ind w:left="428"/>
              <w:jc w:val="left"/>
              <w:rPr>
                <w:b/>
                <w:sz w:val="19"/>
              </w:rPr>
            </w:pPr>
            <w:r>
              <w:rPr>
                <w:b/>
                <w:color w:val="FFFFFF"/>
                <w:w w:val="105"/>
                <w:sz w:val="19"/>
              </w:rPr>
              <w:t>Total</w:t>
            </w:r>
          </w:p>
        </w:tc>
      </w:tr>
      <w:tr w:rsidR="0037596D" w:rsidTr="0063662C">
        <w:trPr>
          <w:trHeight w:hRule="exact" w:val="254"/>
          <w:tblHeader/>
        </w:trPr>
        <w:tc>
          <w:tcPr>
            <w:tcW w:w="1493" w:type="dxa"/>
            <w:vMerge w:val="restart"/>
            <w:tcBorders>
              <w:top w:val="single" w:sz="5" w:space="0" w:color="000000"/>
              <w:right w:val="single" w:sz="3" w:space="0" w:color="000000"/>
            </w:tcBorders>
          </w:tcPr>
          <w:p w:rsidR="0037596D" w:rsidRDefault="0037596D">
            <w:pPr>
              <w:pStyle w:val="TableParagraph"/>
              <w:spacing w:before="0"/>
              <w:jc w:val="left"/>
              <w:rPr>
                <w:rFonts w:ascii="Arial"/>
              </w:rPr>
            </w:pPr>
          </w:p>
          <w:p w:rsidR="0037596D" w:rsidRDefault="00904D3A">
            <w:pPr>
              <w:pStyle w:val="TableParagraph"/>
              <w:spacing w:before="143"/>
              <w:ind w:left="367"/>
              <w:jc w:val="left"/>
              <w:rPr>
                <w:sz w:val="19"/>
              </w:rPr>
            </w:pPr>
            <w:r>
              <w:rPr>
                <w:w w:val="105"/>
                <w:sz w:val="19"/>
              </w:rPr>
              <w:t>Personnel</w:t>
            </w:r>
          </w:p>
        </w:tc>
        <w:tc>
          <w:tcPr>
            <w:tcW w:w="1310" w:type="dxa"/>
            <w:tcBorders>
              <w:top w:val="single" w:sz="5" w:space="0" w:color="000000"/>
              <w:left w:val="single" w:sz="3" w:space="0" w:color="000000"/>
              <w:bottom w:val="single" w:sz="3" w:space="0" w:color="000000"/>
            </w:tcBorders>
          </w:tcPr>
          <w:p w:rsidR="0037596D" w:rsidRDefault="00904D3A">
            <w:pPr>
              <w:pStyle w:val="TableParagraph"/>
              <w:spacing w:before="23"/>
              <w:ind w:left="23"/>
              <w:jc w:val="left"/>
              <w:rPr>
                <w:sz w:val="19"/>
              </w:rPr>
            </w:pPr>
            <w:r>
              <w:rPr>
                <w:w w:val="105"/>
                <w:sz w:val="19"/>
              </w:rPr>
              <w:t>PI Bladon</w:t>
            </w:r>
          </w:p>
        </w:tc>
        <w:tc>
          <w:tcPr>
            <w:tcW w:w="1310" w:type="dxa"/>
            <w:tcBorders>
              <w:top w:val="single" w:sz="5" w:space="0" w:color="000000"/>
              <w:bottom w:val="single" w:sz="3" w:space="0" w:color="000000"/>
              <w:right w:val="single" w:sz="3" w:space="0" w:color="000000"/>
            </w:tcBorders>
          </w:tcPr>
          <w:p w:rsidR="0037596D" w:rsidRDefault="00904D3A">
            <w:pPr>
              <w:pStyle w:val="TableParagraph"/>
              <w:spacing w:before="23"/>
              <w:ind w:right="90"/>
              <w:rPr>
                <w:sz w:val="19"/>
              </w:rPr>
            </w:pPr>
            <w:r>
              <w:rPr>
                <w:sz w:val="19"/>
              </w:rPr>
              <w:t>9,756</w:t>
            </w:r>
          </w:p>
        </w:tc>
        <w:tc>
          <w:tcPr>
            <w:tcW w:w="1310" w:type="dxa"/>
            <w:tcBorders>
              <w:top w:val="single" w:sz="5" w:space="0" w:color="000000"/>
              <w:left w:val="single" w:sz="3" w:space="0" w:color="000000"/>
              <w:bottom w:val="single" w:sz="3" w:space="0" w:color="000000"/>
            </w:tcBorders>
          </w:tcPr>
          <w:p w:rsidR="0037596D" w:rsidRDefault="00904D3A">
            <w:pPr>
              <w:pStyle w:val="TableParagraph"/>
              <w:spacing w:before="23"/>
              <w:ind w:right="88"/>
              <w:rPr>
                <w:sz w:val="19"/>
              </w:rPr>
            </w:pPr>
            <w:r>
              <w:rPr>
                <w:sz w:val="19"/>
              </w:rPr>
              <w:t>10,049</w:t>
            </w:r>
          </w:p>
        </w:tc>
        <w:tc>
          <w:tcPr>
            <w:tcW w:w="1310" w:type="dxa"/>
            <w:tcBorders>
              <w:top w:val="single" w:sz="5" w:space="0" w:color="000000"/>
              <w:bottom w:val="single" w:sz="3" w:space="0" w:color="000000"/>
              <w:right w:val="single" w:sz="3" w:space="0" w:color="000000"/>
            </w:tcBorders>
          </w:tcPr>
          <w:p w:rsidR="0037596D" w:rsidRDefault="00904D3A">
            <w:pPr>
              <w:pStyle w:val="TableParagraph"/>
              <w:spacing w:before="23"/>
              <w:ind w:right="87"/>
              <w:rPr>
                <w:sz w:val="19"/>
              </w:rPr>
            </w:pPr>
            <w:r>
              <w:rPr>
                <w:sz w:val="19"/>
              </w:rPr>
              <w:t>10,350</w:t>
            </w:r>
          </w:p>
        </w:tc>
        <w:tc>
          <w:tcPr>
            <w:tcW w:w="1310" w:type="dxa"/>
            <w:tcBorders>
              <w:top w:val="single" w:sz="5" w:space="0" w:color="000000"/>
              <w:left w:val="single" w:sz="3" w:space="0" w:color="000000"/>
              <w:bottom w:val="single" w:sz="3" w:space="0" w:color="000000"/>
            </w:tcBorders>
          </w:tcPr>
          <w:p w:rsidR="0037596D" w:rsidRDefault="00904D3A">
            <w:pPr>
              <w:pStyle w:val="TableParagraph"/>
              <w:spacing w:before="23"/>
              <w:ind w:right="88"/>
              <w:rPr>
                <w:sz w:val="19"/>
              </w:rPr>
            </w:pPr>
            <w:r>
              <w:rPr>
                <w:sz w:val="19"/>
              </w:rPr>
              <w:t>10,661</w:t>
            </w:r>
          </w:p>
        </w:tc>
        <w:tc>
          <w:tcPr>
            <w:tcW w:w="1310" w:type="dxa"/>
            <w:tcBorders>
              <w:top w:val="single" w:sz="5" w:space="0" w:color="000000"/>
              <w:bottom w:val="single" w:sz="3" w:space="0" w:color="000000"/>
              <w:right w:val="single" w:sz="3" w:space="0" w:color="000000"/>
            </w:tcBorders>
          </w:tcPr>
          <w:p w:rsidR="0037596D" w:rsidRDefault="00904D3A">
            <w:pPr>
              <w:pStyle w:val="TableParagraph"/>
              <w:spacing w:before="23"/>
              <w:ind w:right="87"/>
              <w:rPr>
                <w:sz w:val="19"/>
              </w:rPr>
            </w:pPr>
            <w:r>
              <w:rPr>
                <w:sz w:val="19"/>
              </w:rPr>
              <w:t>40,816</w:t>
            </w:r>
          </w:p>
        </w:tc>
      </w:tr>
      <w:tr w:rsidR="0037596D" w:rsidTr="0063662C">
        <w:trPr>
          <w:trHeight w:hRule="exact" w:val="251"/>
          <w:tblHeader/>
        </w:trPr>
        <w:tc>
          <w:tcPr>
            <w:tcW w:w="1493" w:type="dxa"/>
            <w:vMerge/>
            <w:tcBorders>
              <w:right w:val="single" w:sz="3" w:space="0" w:color="000000"/>
            </w:tcBorders>
          </w:tcPr>
          <w:p w:rsidR="0037596D" w:rsidRDefault="0037596D"/>
        </w:tc>
        <w:tc>
          <w:tcPr>
            <w:tcW w:w="1310" w:type="dxa"/>
            <w:tcBorders>
              <w:top w:val="single" w:sz="3" w:space="0" w:color="000000"/>
              <w:left w:val="single" w:sz="3" w:space="0" w:color="000000"/>
              <w:bottom w:val="single" w:sz="3" w:space="0" w:color="000000"/>
            </w:tcBorders>
          </w:tcPr>
          <w:p w:rsidR="0037596D" w:rsidRDefault="00904D3A">
            <w:pPr>
              <w:pStyle w:val="TableParagraph"/>
              <w:ind w:left="23"/>
              <w:jc w:val="left"/>
              <w:rPr>
                <w:sz w:val="19"/>
              </w:rPr>
            </w:pPr>
            <w:r>
              <w:rPr>
                <w:w w:val="105"/>
                <w:sz w:val="19"/>
              </w:rPr>
              <w:t>PI Segura</w:t>
            </w:r>
          </w:p>
        </w:tc>
        <w:tc>
          <w:tcPr>
            <w:tcW w:w="1310" w:type="dxa"/>
            <w:tcBorders>
              <w:top w:val="single" w:sz="3" w:space="0" w:color="000000"/>
              <w:bottom w:val="single" w:sz="3" w:space="0" w:color="000000"/>
              <w:right w:val="single" w:sz="3" w:space="0" w:color="000000"/>
            </w:tcBorders>
          </w:tcPr>
          <w:p w:rsidR="0037596D" w:rsidRDefault="00904D3A">
            <w:pPr>
              <w:pStyle w:val="TableParagraph"/>
              <w:ind w:right="89"/>
              <w:rPr>
                <w:sz w:val="19"/>
              </w:rPr>
            </w:pPr>
            <w:r>
              <w:rPr>
                <w:sz w:val="19"/>
              </w:rPr>
              <w:t>9,781</w:t>
            </w:r>
          </w:p>
        </w:tc>
        <w:tc>
          <w:tcPr>
            <w:tcW w:w="1310" w:type="dxa"/>
            <w:tcBorders>
              <w:top w:val="single" w:sz="3" w:space="0" w:color="000000"/>
              <w:left w:val="single" w:sz="3" w:space="0" w:color="000000"/>
              <w:bottom w:val="single" w:sz="3" w:space="0" w:color="000000"/>
            </w:tcBorders>
          </w:tcPr>
          <w:p w:rsidR="0037596D" w:rsidRDefault="00904D3A">
            <w:pPr>
              <w:pStyle w:val="TableParagraph"/>
              <w:ind w:right="88"/>
              <w:rPr>
                <w:sz w:val="19"/>
              </w:rPr>
            </w:pPr>
            <w:r>
              <w:rPr>
                <w:sz w:val="19"/>
              </w:rPr>
              <w:t>10,074</w:t>
            </w:r>
          </w:p>
        </w:tc>
        <w:tc>
          <w:tcPr>
            <w:tcW w:w="1310" w:type="dxa"/>
            <w:tcBorders>
              <w:top w:val="single" w:sz="3" w:space="0" w:color="000000"/>
              <w:bottom w:val="single" w:sz="3" w:space="0" w:color="000000"/>
              <w:right w:val="single" w:sz="3" w:space="0" w:color="000000"/>
            </w:tcBorders>
          </w:tcPr>
          <w:p w:rsidR="0037596D" w:rsidRDefault="00904D3A">
            <w:pPr>
              <w:pStyle w:val="TableParagraph"/>
              <w:ind w:right="87"/>
              <w:rPr>
                <w:sz w:val="19"/>
              </w:rPr>
            </w:pPr>
            <w:r>
              <w:rPr>
                <w:sz w:val="19"/>
              </w:rPr>
              <w:t>10,377</w:t>
            </w:r>
          </w:p>
        </w:tc>
        <w:tc>
          <w:tcPr>
            <w:tcW w:w="1310" w:type="dxa"/>
            <w:tcBorders>
              <w:top w:val="single" w:sz="3" w:space="0" w:color="000000"/>
              <w:left w:val="single" w:sz="3" w:space="0" w:color="000000"/>
              <w:bottom w:val="single" w:sz="3" w:space="0" w:color="000000"/>
            </w:tcBorders>
          </w:tcPr>
          <w:p w:rsidR="0037596D" w:rsidRDefault="00904D3A">
            <w:pPr>
              <w:pStyle w:val="TableParagraph"/>
              <w:ind w:right="88"/>
              <w:rPr>
                <w:sz w:val="19"/>
              </w:rPr>
            </w:pPr>
            <w:r>
              <w:rPr>
                <w:sz w:val="19"/>
              </w:rPr>
              <w:t>10,688</w:t>
            </w:r>
          </w:p>
        </w:tc>
        <w:tc>
          <w:tcPr>
            <w:tcW w:w="1310" w:type="dxa"/>
            <w:tcBorders>
              <w:top w:val="single" w:sz="3" w:space="0" w:color="000000"/>
              <w:bottom w:val="single" w:sz="3" w:space="0" w:color="000000"/>
              <w:right w:val="single" w:sz="3" w:space="0" w:color="000000"/>
            </w:tcBorders>
          </w:tcPr>
          <w:p w:rsidR="0037596D" w:rsidRDefault="00904D3A">
            <w:pPr>
              <w:pStyle w:val="TableParagraph"/>
              <w:ind w:right="87"/>
              <w:rPr>
                <w:sz w:val="19"/>
              </w:rPr>
            </w:pPr>
            <w:r>
              <w:rPr>
                <w:sz w:val="19"/>
              </w:rPr>
              <w:t>40,920</w:t>
            </w:r>
          </w:p>
        </w:tc>
      </w:tr>
      <w:tr w:rsidR="0037596D" w:rsidTr="0063662C">
        <w:trPr>
          <w:trHeight w:hRule="exact" w:val="251"/>
          <w:tblHeader/>
        </w:trPr>
        <w:tc>
          <w:tcPr>
            <w:tcW w:w="1493" w:type="dxa"/>
            <w:vMerge/>
            <w:tcBorders>
              <w:right w:val="single" w:sz="3" w:space="0" w:color="000000"/>
            </w:tcBorders>
          </w:tcPr>
          <w:p w:rsidR="0037596D" w:rsidRDefault="0037596D"/>
        </w:tc>
        <w:tc>
          <w:tcPr>
            <w:tcW w:w="1310" w:type="dxa"/>
            <w:tcBorders>
              <w:top w:val="single" w:sz="3" w:space="0" w:color="000000"/>
              <w:left w:val="single" w:sz="3" w:space="0" w:color="000000"/>
              <w:bottom w:val="single" w:sz="3" w:space="0" w:color="000000"/>
            </w:tcBorders>
          </w:tcPr>
          <w:p w:rsidR="0037596D" w:rsidRDefault="00904D3A">
            <w:pPr>
              <w:pStyle w:val="TableParagraph"/>
              <w:ind w:left="23"/>
              <w:jc w:val="left"/>
              <w:rPr>
                <w:sz w:val="19"/>
              </w:rPr>
            </w:pPr>
            <w:r>
              <w:rPr>
                <w:w w:val="105"/>
                <w:sz w:val="19"/>
              </w:rPr>
              <w:t>PhD student</w:t>
            </w:r>
          </w:p>
        </w:tc>
        <w:tc>
          <w:tcPr>
            <w:tcW w:w="1310" w:type="dxa"/>
            <w:tcBorders>
              <w:top w:val="single" w:sz="3" w:space="0" w:color="000000"/>
              <w:bottom w:val="single" w:sz="3" w:space="0" w:color="000000"/>
              <w:right w:val="single" w:sz="3" w:space="0" w:color="000000"/>
            </w:tcBorders>
          </w:tcPr>
          <w:p w:rsidR="0037596D" w:rsidRDefault="00904D3A">
            <w:pPr>
              <w:pStyle w:val="TableParagraph"/>
              <w:ind w:right="89"/>
              <w:rPr>
                <w:sz w:val="19"/>
              </w:rPr>
            </w:pPr>
            <w:r>
              <w:rPr>
                <w:sz w:val="19"/>
              </w:rPr>
              <w:t>25,520</w:t>
            </w:r>
          </w:p>
        </w:tc>
        <w:tc>
          <w:tcPr>
            <w:tcW w:w="1310" w:type="dxa"/>
            <w:tcBorders>
              <w:top w:val="single" w:sz="3" w:space="0" w:color="000000"/>
              <w:left w:val="single" w:sz="3" w:space="0" w:color="000000"/>
              <w:bottom w:val="single" w:sz="3" w:space="0" w:color="000000"/>
            </w:tcBorders>
          </w:tcPr>
          <w:p w:rsidR="0037596D" w:rsidRDefault="00904D3A">
            <w:pPr>
              <w:pStyle w:val="TableParagraph"/>
              <w:ind w:right="88"/>
              <w:rPr>
                <w:sz w:val="19"/>
              </w:rPr>
            </w:pPr>
            <w:r>
              <w:rPr>
                <w:sz w:val="19"/>
              </w:rPr>
              <w:t>26,031</w:t>
            </w:r>
          </w:p>
        </w:tc>
        <w:tc>
          <w:tcPr>
            <w:tcW w:w="1310" w:type="dxa"/>
            <w:tcBorders>
              <w:top w:val="single" w:sz="3" w:space="0" w:color="000000"/>
              <w:bottom w:val="single" w:sz="3" w:space="0" w:color="000000"/>
              <w:right w:val="single" w:sz="3" w:space="0" w:color="000000"/>
            </w:tcBorders>
          </w:tcPr>
          <w:p w:rsidR="0037596D" w:rsidRDefault="00904D3A">
            <w:pPr>
              <w:pStyle w:val="TableParagraph"/>
              <w:ind w:right="87"/>
              <w:rPr>
                <w:sz w:val="19"/>
              </w:rPr>
            </w:pPr>
            <w:r>
              <w:rPr>
                <w:sz w:val="19"/>
              </w:rPr>
              <w:t>26,551</w:t>
            </w:r>
          </w:p>
        </w:tc>
        <w:tc>
          <w:tcPr>
            <w:tcW w:w="1310" w:type="dxa"/>
            <w:tcBorders>
              <w:top w:val="single" w:sz="3" w:space="0" w:color="000000"/>
              <w:left w:val="single" w:sz="3" w:space="0" w:color="000000"/>
              <w:bottom w:val="single" w:sz="3" w:space="0" w:color="000000"/>
            </w:tcBorders>
          </w:tcPr>
          <w:p w:rsidR="0037596D" w:rsidRDefault="00904D3A">
            <w:pPr>
              <w:pStyle w:val="TableParagraph"/>
              <w:ind w:right="88"/>
              <w:rPr>
                <w:sz w:val="19"/>
              </w:rPr>
            </w:pPr>
            <w:r>
              <w:rPr>
                <w:sz w:val="19"/>
              </w:rPr>
              <w:t>27,081</w:t>
            </w:r>
          </w:p>
        </w:tc>
        <w:tc>
          <w:tcPr>
            <w:tcW w:w="1310" w:type="dxa"/>
            <w:tcBorders>
              <w:top w:val="single" w:sz="3" w:space="0" w:color="000000"/>
              <w:bottom w:val="single" w:sz="3" w:space="0" w:color="000000"/>
              <w:right w:val="single" w:sz="3" w:space="0" w:color="000000"/>
            </w:tcBorders>
          </w:tcPr>
          <w:p w:rsidR="0037596D" w:rsidRDefault="00904D3A">
            <w:pPr>
              <w:pStyle w:val="TableParagraph"/>
              <w:ind w:right="87"/>
              <w:rPr>
                <w:sz w:val="19"/>
              </w:rPr>
            </w:pPr>
            <w:r>
              <w:rPr>
                <w:sz w:val="19"/>
              </w:rPr>
              <w:t>105,183</w:t>
            </w:r>
          </w:p>
        </w:tc>
      </w:tr>
      <w:tr w:rsidR="0037596D" w:rsidTr="0063662C">
        <w:trPr>
          <w:trHeight w:hRule="exact" w:val="251"/>
          <w:tblHeader/>
        </w:trPr>
        <w:tc>
          <w:tcPr>
            <w:tcW w:w="1493" w:type="dxa"/>
            <w:vMerge/>
            <w:tcBorders>
              <w:right w:val="single" w:sz="3" w:space="0" w:color="000000"/>
            </w:tcBorders>
          </w:tcPr>
          <w:p w:rsidR="0037596D" w:rsidRDefault="0037596D"/>
        </w:tc>
        <w:tc>
          <w:tcPr>
            <w:tcW w:w="1310" w:type="dxa"/>
            <w:tcBorders>
              <w:top w:val="single" w:sz="3" w:space="0" w:color="000000"/>
              <w:left w:val="single" w:sz="3" w:space="0" w:color="000000"/>
            </w:tcBorders>
          </w:tcPr>
          <w:p w:rsidR="0037596D" w:rsidRDefault="00904D3A">
            <w:pPr>
              <w:pStyle w:val="TableParagraph"/>
              <w:ind w:left="23"/>
              <w:jc w:val="left"/>
              <w:rPr>
                <w:sz w:val="19"/>
              </w:rPr>
            </w:pPr>
            <w:r>
              <w:rPr>
                <w:w w:val="105"/>
                <w:sz w:val="19"/>
              </w:rPr>
              <w:t>Undergarduate</w:t>
            </w:r>
          </w:p>
        </w:tc>
        <w:tc>
          <w:tcPr>
            <w:tcW w:w="1310" w:type="dxa"/>
            <w:tcBorders>
              <w:top w:val="single" w:sz="3" w:space="0" w:color="000000"/>
              <w:right w:val="single" w:sz="3" w:space="0" w:color="000000"/>
            </w:tcBorders>
          </w:tcPr>
          <w:p w:rsidR="0037596D" w:rsidRDefault="00904D3A">
            <w:pPr>
              <w:pStyle w:val="TableParagraph"/>
              <w:ind w:right="89"/>
              <w:rPr>
                <w:sz w:val="19"/>
              </w:rPr>
            </w:pPr>
            <w:r>
              <w:rPr>
                <w:sz w:val="19"/>
              </w:rPr>
              <w:t>7,800</w:t>
            </w:r>
          </w:p>
        </w:tc>
        <w:tc>
          <w:tcPr>
            <w:tcW w:w="1310" w:type="dxa"/>
            <w:tcBorders>
              <w:top w:val="single" w:sz="3" w:space="0" w:color="000000"/>
              <w:left w:val="single" w:sz="3" w:space="0" w:color="000000"/>
            </w:tcBorders>
          </w:tcPr>
          <w:p w:rsidR="0037596D" w:rsidRDefault="00904D3A">
            <w:pPr>
              <w:pStyle w:val="TableParagraph"/>
              <w:ind w:right="88"/>
              <w:rPr>
                <w:sz w:val="19"/>
              </w:rPr>
            </w:pPr>
            <w:r>
              <w:rPr>
                <w:sz w:val="19"/>
              </w:rPr>
              <w:t>7,800</w:t>
            </w:r>
          </w:p>
        </w:tc>
        <w:tc>
          <w:tcPr>
            <w:tcW w:w="1310" w:type="dxa"/>
            <w:tcBorders>
              <w:top w:val="single" w:sz="3" w:space="0" w:color="000000"/>
              <w:right w:val="single" w:sz="3" w:space="0" w:color="000000"/>
            </w:tcBorders>
          </w:tcPr>
          <w:p w:rsidR="0037596D" w:rsidRDefault="00904D3A">
            <w:pPr>
              <w:pStyle w:val="TableParagraph"/>
              <w:ind w:right="87"/>
              <w:rPr>
                <w:sz w:val="19"/>
              </w:rPr>
            </w:pPr>
            <w:r>
              <w:rPr>
                <w:sz w:val="19"/>
              </w:rPr>
              <w:t>7,800</w:t>
            </w:r>
          </w:p>
        </w:tc>
        <w:tc>
          <w:tcPr>
            <w:tcW w:w="1310" w:type="dxa"/>
            <w:tcBorders>
              <w:top w:val="single" w:sz="3" w:space="0" w:color="000000"/>
              <w:left w:val="single" w:sz="3" w:space="0" w:color="000000"/>
            </w:tcBorders>
          </w:tcPr>
          <w:p w:rsidR="0037596D" w:rsidRDefault="00904D3A">
            <w:pPr>
              <w:pStyle w:val="TableParagraph"/>
              <w:ind w:right="88"/>
              <w:rPr>
                <w:sz w:val="19"/>
              </w:rPr>
            </w:pPr>
            <w:r>
              <w:rPr>
                <w:sz w:val="19"/>
              </w:rPr>
              <w:t>7,800</w:t>
            </w:r>
          </w:p>
        </w:tc>
        <w:tc>
          <w:tcPr>
            <w:tcW w:w="1310" w:type="dxa"/>
            <w:tcBorders>
              <w:top w:val="single" w:sz="3" w:space="0" w:color="000000"/>
              <w:right w:val="single" w:sz="3" w:space="0" w:color="000000"/>
            </w:tcBorders>
          </w:tcPr>
          <w:p w:rsidR="0037596D" w:rsidRDefault="00904D3A">
            <w:pPr>
              <w:pStyle w:val="TableParagraph"/>
              <w:ind w:right="87"/>
              <w:rPr>
                <w:sz w:val="19"/>
              </w:rPr>
            </w:pPr>
            <w:r>
              <w:rPr>
                <w:sz w:val="19"/>
              </w:rPr>
              <w:t>31,200</w:t>
            </w:r>
          </w:p>
        </w:tc>
      </w:tr>
      <w:tr w:rsidR="0037596D" w:rsidTr="0063662C">
        <w:trPr>
          <w:trHeight w:hRule="exact" w:val="251"/>
          <w:tblHeader/>
        </w:trPr>
        <w:tc>
          <w:tcPr>
            <w:tcW w:w="1493" w:type="dxa"/>
            <w:vMerge w:val="restart"/>
            <w:tcBorders>
              <w:right w:val="single" w:sz="3" w:space="0" w:color="000000"/>
            </w:tcBorders>
            <w:shd w:val="clear" w:color="auto" w:fill="D9D9D9"/>
          </w:tcPr>
          <w:p w:rsidR="0037596D" w:rsidRDefault="0037596D">
            <w:pPr>
              <w:pStyle w:val="TableParagraph"/>
              <w:spacing w:before="0"/>
              <w:jc w:val="left"/>
              <w:rPr>
                <w:rFonts w:ascii="Arial"/>
              </w:rPr>
            </w:pPr>
          </w:p>
          <w:p w:rsidR="0037596D" w:rsidRDefault="00904D3A">
            <w:pPr>
              <w:pStyle w:val="TableParagraph"/>
              <w:spacing w:before="143"/>
              <w:ind w:left="25"/>
              <w:jc w:val="left"/>
              <w:rPr>
                <w:sz w:val="19"/>
              </w:rPr>
            </w:pPr>
            <w:r>
              <w:rPr>
                <w:spacing w:val="-3"/>
                <w:w w:val="105"/>
                <w:sz w:val="19"/>
              </w:rPr>
              <w:t>Personnel Benefits</w:t>
            </w:r>
          </w:p>
        </w:tc>
        <w:tc>
          <w:tcPr>
            <w:tcW w:w="1310" w:type="dxa"/>
            <w:tcBorders>
              <w:left w:val="single" w:sz="3" w:space="0" w:color="000000"/>
            </w:tcBorders>
            <w:shd w:val="clear" w:color="auto" w:fill="D9D9D9"/>
          </w:tcPr>
          <w:p w:rsidR="0037596D" w:rsidRDefault="00904D3A">
            <w:pPr>
              <w:pStyle w:val="TableParagraph"/>
              <w:spacing w:before="23"/>
              <w:ind w:left="23"/>
              <w:jc w:val="left"/>
              <w:rPr>
                <w:sz w:val="19"/>
              </w:rPr>
            </w:pPr>
            <w:r>
              <w:rPr>
                <w:w w:val="105"/>
                <w:sz w:val="19"/>
              </w:rPr>
              <w:t>PI Bladon</w:t>
            </w:r>
          </w:p>
        </w:tc>
        <w:tc>
          <w:tcPr>
            <w:tcW w:w="1310" w:type="dxa"/>
            <w:tcBorders>
              <w:right w:val="single" w:sz="3" w:space="0" w:color="000000"/>
            </w:tcBorders>
            <w:shd w:val="clear" w:color="auto" w:fill="D9D9D9"/>
          </w:tcPr>
          <w:p w:rsidR="0037596D" w:rsidRDefault="00904D3A">
            <w:pPr>
              <w:pStyle w:val="TableParagraph"/>
              <w:spacing w:before="23"/>
              <w:ind w:right="90"/>
              <w:rPr>
                <w:sz w:val="19"/>
              </w:rPr>
            </w:pPr>
            <w:r>
              <w:rPr>
                <w:sz w:val="19"/>
              </w:rPr>
              <w:t>5,366</w:t>
            </w:r>
          </w:p>
        </w:tc>
        <w:tc>
          <w:tcPr>
            <w:tcW w:w="1310" w:type="dxa"/>
            <w:tcBorders>
              <w:left w:val="single" w:sz="3" w:space="0" w:color="000000"/>
            </w:tcBorders>
            <w:shd w:val="clear" w:color="auto" w:fill="D9D9D9"/>
          </w:tcPr>
          <w:p w:rsidR="0037596D" w:rsidRDefault="00904D3A">
            <w:pPr>
              <w:pStyle w:val="TableParagraph"/>
              <w:spacing w:before="23"/>
              <w:ind w:right="88"/>
              <w:rPr>
                <w:sz w:val="19"/>
              </w:rPr>
            </w:pPr>
            <w:r>
              <w:rPr>
                <w:sz w:val="19"/>
              </w:rPr>
              <w:t>5,627</w:t>
            </w:r>
          </w:p>
        </w:tc>
        <w:tc>
          <w:tcPr>
            <w:tcW w:w="1310" w:type="dxa"/>
            <w:tcBorders>
              <w:right w:val="single" w:sz="3" w:space="0" w:color="000000"/>
            </w:tcBorders>
            <w:shd w:val="clear" w:color="auto" w:fill="D9D9D9"/>
          </w:tcPr>
          <w:p w:rsidR="0037596D" w:rsidRDefault="00904D3A">
            <w:pPr>
              <w:pStyle w:val="TableParagraph"/>
              <w:spacing w:before="23"/>
              <w:ind w:right="87"/>
              <w:rPr>
                <w:sz w:val="19"/>
              </w:rPr>
            </w:pPr>
            <w:r>
              <w:rPr>
                <w:sz w:val="19"/>
              </w:rPr>
              <w:t>5,900</w:t>
            </w:r>
          </w:p>
        </w:tc>
        <w:tc>
          <w:tcPr>
            <w:tcW w:w="1310" w:type="dxa"/>
            <w:tcBorders>
              <w:left w:val="single" w:sz="3" w:space="0" w:color="000000"/>
            </w:tcBorders>
            <w:shd w:val="clear" w:color="auto" w:fill="D9D9D9"/>
          </w:tcPr>
          <w:p w:rsidR="0037596D" w:rsidRDefault="00904D3A">
            <w:pPr>
              <w:pStyle w:val="TableParagraph"/>
              <w:spacing w:before="23"/>
              <w:ind w:right="88"/>
              <w:rPr>
                <w:sz w:val="19"/>
              </w:rPr>
            </w:pPr>
            <w:r>
              <w:rPr>
                <w:sz w:val="19"/>
              </w:rPr>
              <w:t>6,183</w:t>
            </w:r>
          </w:p>
        </w:tc>
        <w:tc>
          <w:tcPr>
            <w:tcW w:w="1310" w:type="dxa"/>
            <w:tcBorders>
              <w:right w:val="single" w:sz="3" w:space="0" w:color="000000"/>
            </w:tcBorders>
            <w:shd w:val="clear" w:color="auto" w:fill="D9D9D9"/>
          </w:tcPr>
          <w:p w:rsidR="0037596D" w:rsidRDefault="00904D3A">
            <w:pPr>
              <w:pStyle w:val="TableParagraph"/>
              <w:spacing w:before="23"/>
              <w:ind w:right="87"/>
              <w:rPr>
                <w:sz w:val="19"/>
              </w:rPr>
            </w:pPr>
            <w:r>
              <w:rPr>
                <w:sz w:val="19"/>
              </w:rPr>
              <w:t>23,076</w:t>
            </w:r>
          </w:p>
        </w:tc>
      </w:tr>
      <w:tr w:rsidR="0037596D" w:rsidTr="0063662C">
        <w:trPr>
          <w:trHeight w:hRule="exact" w:val="251"/>
          <w:tblHeader/>
        </w:trPr>
        <w:tc>
          <w:tcPr>
            <w:tcW w:w="1493" w:type="dxa"/>
            <w:vMerge/>
            <w:tcBorders>
              <w:right w:val="single" w:sz="3" w:space="0" w:color="000000"/>
            </w:tcBorders>
            <w:shd w:val="clear" w:color="auto" w:fill="D9D9D9"/>
          </w:tcPr>
          <w:p w:rsidR="0037596D" w:rsidRDefault="0037596D"/>
        </w:tc>
        <w:tc>
          <w:tcPr>
            <w:tcW w:w="1310" w:type="dxa"/>
            <w:tcBorders>
              <w:left w:val="single" w:sz="3" w:space="0" w:color="000000"/>
              <w:bottom w:val="single" w:sz="3" w:space="0" w:color="000000"/>
            </w:tcBorders>
            <w:shd w:val="clear" w:color="auto" w:fill="D9D9D9"/>
          </w:tcPr>
          <w:p w:rsidR="0037596D" w:rsidRDefault="00904D3A">
            <w:pPr>
              <w:pStyle w:val="TableParagraph"/>
              <w:spacing w:before="23"/>
              <w:ind w:left="23"/>
              <w:jc w:val="left"/>
              <w:rPr>
                <w:sz w:val="19"/>
              </w:rPr>
            </w:pPr>
            <w:r>
              <w:rPr>
                <w:w w:val="105"/>
                <w:sz w:val="19"/>
              </w:rPr>
              <w:t>PI Segura</w:t>
            </w:r>
          </w:p>
        </w:tc>
        <w:tc>
          <w:tcPr>
            <w:tcW w:w="1310" w:type="dxa"/>
            <w:tcBorders>
              <w:bottom w:val="single" w:sz="3" w:space="0" w:color="000000"/>
              <w:right w:val="single" w:sz="3" w:space="0" w:color="000000"/>
            </w:tcBorders>
            <w:shd w:val="clear" w:color="auto" w:fill="D9D9D9"/>
          </w:tcPr>
          <w:p w:rsidR="0037596D" w:rsidRDefault="00904D3A">
            <w:pPr>
              <w:pStyle w:val="TableParagraph"/>
              <w:spacing w:before="23"/>
              <w:ind w:right="89"/>
              <w:rPr>
                <w:sz w:val="19"/>
              </w:rPr>
            </w:pPr>
            <w:r>
              <w:rPr>
                <w:sz w:val="19"/>
              </w:rPr>
              <w:t>5,380</w:t>
            </w:r>
          </w:p>
        </w:tc>
        <w:tc>
          <w:tcPr>
            <w:tcW w:w="1310" w:type="dxa"/>
            <w:tcBorders>
              <w:left w:val="single" w:sz="3" w:space="0" w:color="000000"/>
              <w:bottom w:val="single" w:sz="3" w:space="0" w:color="000000"/>
            </w:tcBorders>
            <w:shd w:val="clear" w:color="auto" w:fill="D9D9D9"/>
          </w:tcPr>
          <w:p w:rsidR="0037596D" w:rsidRDefault="00904D3A">
            <w:pPr>
              <w:pStyle w:val="TableParagraph"/>
              <w:spacing w:before="23"/>
              <w:ind w:right="88"/>
              <w:rPr>
                <w:sz w:val="19"/>
              </w:rPr>
            </w:pPr>
            <w:r>
              <w:rPr>
                <w:sz w:val="19"/>
              </w:rPr>
              <w:t>5,641</w:t>
            </w:r>
          </w:p>
        </w:tc>
        <w:tc>
          <w:tcPr>
            <w:tcW w:w="1310" w:type="dxa"/>
            <w:tcBorders>
              <w:bottom w:val="single" w:sz="3" w:space="0" w:color="000000"/>
              <w:right w:val="single" w:sz="3" w:space="0" w:color="000000"/>
            </w:tcBorders>
            <w:shd w:val="clear" w:color="auto" w:fill="D9D9D9"/>
          </w:tcPr>
          <w:p w:rsidR="0037596D" w:rsidRDefault="00904D3A">
            <w:pPr>
              <w:pStyle w:val="TableParagraph"/>
              <w:spacing w:before="23"/>
              <w:ind w:right="87"/>
              <w:rPr>
                <w:sz w:val="19"/>
              </w:rPr>
            </w:pPr>
            <w:r>
              <w:rPr>
                <w:sz w:val="19"/>
              </w:rPr>
              <w:t>5,915</w:t>
            </w:r>
          </w:p>
        </w:tc>
        <w:tc>
          <w:tcPr>
            <w:tcW w:w="1310" w:type="dxa"/>
            <w:tcBorders>
              <w:left w:val="single" w:sz="3" w:space="0" w:color="000000"/>
              <w:bottom w:val="single" w:sz="3" w:space="0" w:color="000000"/>
            </w:tcBorders>
            <w:shd w:val="clear" w:color="auto" w:fill="D9D9D9"/>
          </w:tcPr>
          <w:p w:rsidR="0037596D" w:rsidRDefault="00904D3A">
            <w:pPr>
              <w:pStyle w:val="TableParagraph"/>
              <w:spacing w:before="23"/>
              <w:ind w:right="88"/>
              <w:rPr>
                <w:sz w:val="19"/>
              </w:rPr>
            </w:pPr>
            <w:r>
              <w:rPr>
                <w:sz w:val="19"/>
              </w:rPr>
              <w:t>6,199</w:t>
            </w:r>
          </w:p>
        </w:tc>
        <w:tc>
          <w:tcPr>
            <w:tcW w:w="1310" w:type="dxa"/>
            <w:tcBorders>
              <w:bottom w:val="single" w:sz="3" w:space="0" w:color="000000"/>
              <w:right w:val="single" w:sz="3" w:space="0" w:color="000000"/>
            </w:tcBorders>
            <w:shd w:val="clear" w:color="auto" w:fill="D9D9D9"/>
          </w:tcPr>
          <w:p w:rsidR="0037596D" w:rsidRDefault="00904D3A">
            <w:pPr>
              <w:pStyle w:val="TableParagraph"/>
              <w:spacing w:before="23"/>
              <w:ind w:right="87"/>
              <w:rPr>
                <w:sz w:val="19"/>
              </w:rPr>
            </w:pPr>
            <w:r>
              <w:rPr>
                <w:sz w:val="19"/>
              </w:rPr>
              <w:t>23,135</w:t>
            </w:r>
          </w:p>
        </w:tc>
      </w:tr>
      <w:tr w:rsidR="0037596D" w:rsidTr="0063662C">
        <w:trPr>
          <w:trHeight w:hRule="exact" w:val="251"/>
          <w:tblHeader/>
        </w:trPr>
        <w:tc>
          <w:tcPr>
            <w:tcW w:w="1493" w:type="dxa"/>
            <w:vMerge/>
            <w:tcBorders>
              <w:right w:val="single" w:sz="3" w:space="0" w:color="000000"/>
            </w:tcBorders>
            <w:shd w:val="clear" w:color="auto" w:fill="D9D9D9"/>
          </w:tcPr>
          <w:p w:rsidR="0037596D" w:rsidRDefault="0037596D"/>
        </w:tc>
        <w:tc>
          <w:tcPr>
            <w:tcW w:w="1310" w:type="dxa"/>
            <w:tcBorders>
              <w:top w:val="single" w:sz="3" w:space="0" w:color="000000"/>
              <w:left w:val="single" w:sz="3" w:space="0" w:color="000000"/>
              <w:bottom w:val="single" w:sz="3" w:space="0" w:color="000000"/>
            </w:tcBorders>
            <w:shd w:val="clear" w:color="auto" w:fill="D9D9D9"/>
          </w:tcPr>
          <w:p w:rsidR="0037596D" w:rsidRDefault="00904D3A">
            <w:pPr>
              <w:pStyle w:val="TableParagraph"/>
              <w:ind w:left="23"/>
              <w:jc w:val="left"/>
              <w:rPr>
                <w:sz w:val="19"/>
              </w:rPr>
            </w:pPr>
            <w:r>
              <w:rPr>
                <w:w w:val="105"/>
                <w:sz w:val="19"/>
              </w:rPr>
              <w:t>PhD student</w:t>
            </w:r>
          </w:p>
        </w:tc>
        <w:tc>
          <w:tcPr>
            <w:tcW w:w="1310" w:type="dxa"/>
            <w:tcBorders>
              <w:top w:val="single" w:sz="3" w:space="0" w:color="000000"/>
              <w:bottom w:val="single" w:sz="3" w:space="0" w:color="000000"/>
              <w:right w:val="single" w:sz="3" w:space="0" w:color="000000"/>
            </w:tcBorders>
            <w:shd w:val="clear" w:color="auto" w:fill="D9D9D9"/>
          </w:tcPr>
          <w:p w:rsidR="0037596D" w:rsidRDefault="00904D3A">
            <w:pPr>
              <w:pStyle w:val="TableParagraph"/>
              <w:ind w:right="89"/>
              <w:rPr>
                <w:sz w:val="19"/>
              </w:rPr>
            </w:pPr>
            <w:r>
              <w:rPr>
                <w:sz w:val="19"/>
              </w:rPr>
              <w:t>7,401</w:t>
            </w:r>
          </w:p>
        </w:tc>
        <w:tc>
          <w:tcPr>
            <w:tcW w:w="1310" w:type="dxa"/>
            <w:tcBorders>
              <w:top w:val="single" w:sz="3" w:space="0" w:color="000000"/>
              <w:left w:val="single" w:sz="3" w:space="0" w:color="000000"/>
              <w:bottom w:val="single" w:sz="3" w:space="0" w:color="000000"/>
            </w:tcBorders>
            <w:shd w:val="clear" w:color="auto" w:fill="D9D9D9"/>
          </w:tcPr>
          <w:p w:rsidR="0037596D" w:rsidRDefault="00904D3A">
            <w:pPr>
              <w:pStyle w:val="TableParagraph"/>
              <w:ind w:right="88"/>
              <w:rPr>
                <w:sz w:val="19"/>
              </w:rPr>
            </w:pPr>
            <w:r>
              <w:rPr>
                <w:sz w:val="19"/>
              </w:rPr>
              <w:t>8,069</w:t>
            </w:r>
          </w:p>
        </w:tc>
        <w:tc>
          <w:tcPr>
            <w:tcW w:w="1310" w:type="dxa"/>
            <w:tcBorders>
              <w:top w:val="single" w:sz="3" w:space="0" w:color="000000"/>
              <w:bottom w:val="single" w:sz="3" w:space="0" w:color="000000"/>
              <w:right w:val="single" w:sz="3" w:space="0" w:color="000000"/>
            </w:tcBorders>
            <w:shd w:val="clear" w:color="auto" w:fill="D9D9D9"/>
          </w:tcPr>
          <w:p w:rsidR="0037596D" w:rsidRDefault="00904D3A">
            <w:pPr>
              <w:pStyle w:val="TableParagraph"/>
              <w:ind w:right="87"/>
              <w:rPr>
                <w:sz w:val="19"/>
              </w:rPr>
            </w:pPr>
            <w:r>
              <w:rPr>
                <w:sz w:val="19"/>
              </w:rPr>
              <w:t>8,762</w:t>
            </w:r>
          </w:p>
        </w:tc>
        <w:tc>
          <w:tcPr>
            <w:tcW w:w="1310" w:type="dxa"/>
            <w:tcBorders>
              <w:top w:val="single" w:sz="3" w:space="0" w:color="000000"/>
              <w:left w:val="single" w:sz="3" w:space="0" w:color="000000"/>
              <w:bottom w:val="single" w:sz="3" w:space="0" w:color="000000"/>
            </w:tcBorders>
            <w:shd w:val="clear" w:color="auto" w:fill="D9D9D9"/>
          </w:tcPr>
          <w:p w:rsidR="0037596D" w:rsidRDefault="00904D3A">
            <w:pPr>
              <w:pStyle w:val="TableParagraph"/>
              <w:ind w:right="88"/>
              <w:rPr>
                <w:sz w:val="19"/>
              </w:rPr>
            </w:pPr>
            <w:r>
              <w:rPr>
                <w:sz w:val="19"/>
              </w:rPr>
              <w:t>9,479</w:t>
            </w:r>
          </w:p>
        </w:tc>
        <w:tc>
          <w:tcPr>
            <w:tcW w:w="1310" w:type="dxa"/>
            <w:tcBorders>
              <w:top w:val="single" w:sz="3" w:space="0" w:color="000000"/>
              <w:bottom w:val="single" w:sz="3" w:space="0" w:color="000000"/>
              <w:right w:val="single" w:sz="3" w:space="0" w:color="000000"/>
            </w:tcBorders>
            <w:shd w:val="clear" w:color="auto" w:fill="D9D9D9"/>
          </w:tcPr>
          <w:p w:rsidR="0037596D" w:rsidRDefault="00904D3A">
            <w:pPr>
              <w:pStyle w:val="TableParagraph"/>
              <w:ind w:right="87"/>
              <w:rPr>
                <w:sz w:val="19"/>
              </w:rPr>
            </w:pPr>
            <w:r>
              <w:rPr>
                <w:sz w:val="19"/>
              </w:rPr>
              <w:t>33,711</w:t>
            </w:r>
          </w:p>
        </w:tc>
      </w:tr>
      <w:tr w:rsidR="0037596D" w:rsidTr="0063662C">
        <w:trPr>
          <w:trHeight w:hRule="exact" w:val="251"/>
          <w:tblHeader/>
        </w:trPr>
        <w:tc>
          <w:tcPr>
            <w:tcW w:w="1493" w:type="dxa"/>
            <w:vMerge/>
            <w:tcBorders>
              <w:bottom w:val="single" w:sz="3" w:space="0" w:color="000000"/>
              <w:right w:val="single" w:sz="3" w:space="0" w:color="000000"/>
            </w:tcBorders>
            <w:shd w:val="clear" w:color="auto" w:fill="D9D9D9"/>
          </w:tcPr>
          <w:p w:rsidR="0037596D" w:rsidRDefault="0037596D"/>
        </w:tc>
        <w:tc>
          <w:tcPr>
            <w:tcW w:w="1310" w:type="dxa"/>
            <w:tcBorders>
              <w:top w:val="single" w:sz="3" w:space="0" w:color="000000"/>
              <w:left w:val="single" w:sz="3" w:space="0" w:color="000000"/>
              <w:bottom w:val="single" w:sz="3" w:space="0" w:color="000000"/>
            </w:tcBorders>
            <w:shd w:val="clear" w:color="auto" w:fill="D9D9D9"/>
          </w:tcPr>
          <w:p w:rsidR="0037596D" w:rsidRDefault="00904D3A">
            <w:pPr>
              <w:pStyle w:val="TableParagraph"/>
              <w:ind w:left="23"/>
              <w:jc w:val="left"/>
              <w:rPr>
                <w:sz w:val="19"/>
              </w:rPr>
            </w:pPr>
            <w:r>
              <w:rPr>
                <w:w w:val="105"/>
                <w:sz w:val="19"/>
              </w:rPr>
              <w:t>Undergarduate</w:t>
            </w:r>
          </w:p>
        </w:tc>
        <w:tc>
          <w:tcPr>
            <w:tcW w:w="1310" w:type="dxa"/>
            <w:tcBorders>
              <w:top w:val="single" w:sz="3" w:space="0" w:color="000000"/>
              <w:bottom w:val="single" w:sz="3" w:space="0" w:color="000000"/>
              <w:right w:val="single" w:sz="3" w:space="0" w:color="000000"/>
            </w:tcBorders>
            <w:shd w:val="clear" w:color="auto" w:fill="D9D9D9"/>
          </w:tcPr>
          <w:p w:rsidR="0037596D" w:rsidRDefault="00904D3A">
            <w:pPr>
              <w:pStyle w:val="TableParagraph"/>
              <w:ind w:right="89"/>
              <w:rPr>
                <w:sz w:val="19"/>
              </w:rPr>
            </w:pPr>
            <w:r>
              <w:rPr>
                <w:sz w:val="19"/>
              </w:rPr>
              <w:t>624</w:t>
            </w:r>
          </w:p>
        </w:tc>
        <w:tc>
          <w:tcPr>
            <w:tcW w:w="1310" w:type="dxa"/>
            <w:tcBorders>
              <w:top w:val="single" w:sz="3" w:space="0" w:color="000000"/>
              <w:left w:val="single" w:sz="3" w:space="0" w:color="000000"/>
              <w:bottom w:val="single" w:sz="3" w:space="0" w:color="000000"/>
            </w:tcBorders>
            <w:shd w:val="clear" w:color="auto" w:fill="D9D9D9"/>
          </w:tcPr>
          <w:p w:rsidR="0037596D" w:rsidRDefault="00904D3A">
            <w:pPr>
              <w:pStyle w:val="TableParagraph"/>
              <w:ind w:right="89"/>
              <w:rPr>
                <w:sz w:val="19"/>
              </w:rPr>
            </w:pPr>
            <w:r>
              <w:rPr>
                <w:sz w:val="19"/>
              </w:rPr>
              <w:t>624</w:t>
            </w:r>
          </w:p>
        </w:tc>
        <w:tc>
          <w:tcPr>
            <w:tcW w:w="1310" w:type="dxa"/>
            <w:tcBorders>
              <w:top w:val="single" w:sz="3" w:space="0" w:color="000000"/>
              <w:bottom w:val="single" w:sz="3" w:space="0" w:color="000000"/>
              <w:right w:val="single" w:sz="3" w:space="0" w:color="000000"/>
            </w:tcBorders>
            <w:shd w:val="clear" w:color="auto" w:fill="D9D9D9"/>
          </w:tcPr>
          <w:p w:rsidR="0037596D" w:rsidRDefault="00904D3A">
            <w:pPr>
              <w:pStyle w:val="TableParagraph"/>
              <w:ind w:right="88"/>
              <w:rPr>
                <w:sz w:val="19"/>
              </w:rPr>
            </w:pPr>
            <w:r>
              <w:rPr>
                <w:sz w:val="19"/>
              </w:rPr>
              <w:t>624</w:t>
            </w:r>
          </w:p>
        </w:tc>
        <w:tc>
          <w:tcPr>
            <w:tcW w:w="1310" w:type="dxa"/>
            <w:tcBorders>
              <w:top w:val="single" w:sz="3" w:space="0" w:color="000000"/>
              <w:left w:val="single" w:sz="3" w:space="0" w:color="000000"/>
              <w:bottom w:val="single" w:sz="3" w:space="0" w:color="000000"/>
            </w:tcBorders>
            <w:shd w:val="clear" w:color="auto" w:fill="D9D9D9"/>
          </w:tcPr>
          <w:p w:rsidR="0037596D" w:rsidRDefault="00904D3A">
            <w:pPr>
              <w:pStyle w:val="TableParagraph"/>
              <w:ind w:right="89"/>
              <w:rPr>
                <w:sz w:val="19"/>
              </w:rPr>
            </w:pPr>
            <w:r>
              <w:rPr>
                <w:sz w:val="19"/>
              </w:rPr>
              <w:t>624</w:t>
            </w:r>
          </w:p>
        </w:tc>
        <w:tc>
          <w:tcPr>
            <w:tcW w:w="1310" w:type="dxa"/>
            <w:tcBorders>
              <w:top w:val="single" w:sz="3" w:space="0" w:color="000000"/>
              <w:bottom w:val="single" w:sz="3" w:space="0" w:color="000000"/>
              <w:right w:val="single" w:sz="3" w:space="0" w:color="000000"/>
            </w:tcBorders>
            <w:shd w:val="clear" w:color="auto" w:fill="D9D9D9"/>
          </w:tcPr>
          <w:p w:rsidR="0037596D" w:rsidRDefault="00904D3A">
            <w:pPr>
              <w:pStyle w:val="TableParagraph"/>
              <w:ind w:right="87"/>
              <w:rPr>
                <w:sz w:val="19"/>
              </w:rPr>
            </w:pPr>
            <w:r>
              <w:rPr>
                <w:sz w:val="19"/>
              </w:rPr>
              <w:t>2,496</w:t>
            </w:r>
          </w:p>
        </w:tc>
      </w:tr>
      <w:tr w:rsidR="0037596D" w:rsidTr="0063662C">
        <w:trPr>
          <w:trHeight w:hRule="exact" w:val="251"/>
          <w:tblHeader/>
        </w:trPr>
        <w:tc>
          <w:tcPr>
            <w:tcW w:w="1493" w:type="dxa"/>
            <w:tcBorders>
              <w:top w:val="single" w:sz="3" w:space="0" w:color="000000"/>
              <w:right w:val="single" w:sz="3" w:space="0" w:color="000000"/>
            </w:tcBorders>
          </w:tcPr>
          <w:p w:rsidR="0037596D" w:rsidRDefault="00904D3A">
            <w:pPr>
              <w:pStyle w:val="TableParagraph"/>
              <w:ind w:left="76" w:right="74"/>
              <w:jc w:val="center"/>
              <w:rPr>
                <w:sz w:val="19"/>
              </w:rPr>
            </w:pPr>
            <w:r>
              <w:rPr>
                <w:w w:val="105"/>
                <w:sz w:val="19"/>
              </w:rPr>
              <w:t>Fees &amp; Services</w:t>
            </w:r>
          </w:p>
        </w:tc>
        <w:tc>
          <w:tcPr>
            <w:tcW w:w="1310" w:type="dxa"/>
            <w:tcBorders>
              <w:top w:val="single" w:sz="3" w:space="0" w:color="000000"/>
              <w:left w:val="single" w:sz="3" w:space="0" w:color="000000"/>
            </w:tcBorders>
          </w:tcPr>
          <w:p w:rsidR="0037596D" w:rsidRDefault="0037596D"/>
        </w:tc>
        <w:tc>
          <w:tcPr>
            <w:tcW w:w="1310" w:type="dxa"/>
            <w:tcBorders>
              <w:top w:val="single" w:sz="3" w:space="0" w:color="000000"/>
              <w:right w:val="single" w:sz="3" w:space="0" w:color="000000"/>
            </w:tcBorders>
          </w:tcPr>
          <w:p w:rsidR="0037596D" w:rsidRDefault="00904D3A">
            <w:pPr>
              <w:pStyle w:val="TableParagraph"/>
              <w:ind w:right="88"/>
              <w:rPr>
                <w:sz w:val="19"/>
              </w:rPr>
            </w:pPr>
            <w:r>
              <w:rPr>
                <w:sz w:val="19"/>
              </w:rPr>
              <w:t>9,610</w:t>
            </w:r>
          </w:p>
        </w:tc>
        <w:tc>
          <w:tcPr>
            <w:tcW w:w="1310" w:type="dxa"/>
            <w:tcBorders>
              <w:top w:val="single" w:sz="3" w:space="0" w:color="000000"/>
              <w:left w:val="single" w:sz="3" w:space="0" w:color="000000"/>
            </w:tcBorders>
          </w:tcPr>
          <w:p w:rsidR="0037596D" w:rsidRDefault="00904D3A">
            <w:pPr>
              <w:pStyle w:val="TableParagraph"/>
              <w:ind w:right="88"/>
              <w:rPr>
                <w:sz w:val="19"/>
              </w:rPr>
            </w:pPr>
            <w:r>
              <w:rPr>
                <w:sz w:val="19"/>
              </w:rPr>
              <w:t>9,610</w:t>
            </w:r>
          </w:p>
        </w:tc>
        <w:tc>
          <w:tcPr>
            <w:tcW w:w="1310" w:type="dxa"/>
            <w:tcBorders>
              <w:top w:val="single" w:sz="3" w:space="0" w:color="000000"/>
              <w:right w:val="single" w:sz="3" w:space="0" w:color="000000"/>
            </w:tcBorders>
          </w:tcPr>
          <w:p w:rsidR="0037596D" w:rsidRDefault="00904D3A">
            <w:pPr>
              <w:pStyle w:val="TableParagraph"/>
              <w:ind w:right="87"/>
              <w:rPr>
                <w:sz w:val="19"/>
              </w:rPr>
            </w:pPr>
            <w:r>
              <w:rPr>
                <w:sz w:val="19"/>
              </w:rPr>
              <w:t>10,610</w:t>
            </w:r>
          </w:p>
        </w:tc>
        <w:tc>
          <w:tcPr>
            <w:tcW w:w="1310" w:type="dxa"/>
            <w:tcBorders>
              <w:top w:val="single" w:sz="3" w:space="0" w:color="000000"/>
              <w:left w:val="single" w:sz="3" w:space="0" w:color="000000"/>
            </w:tcBorders>
          </w:tcPr>
          <w:p w:rsidR="0037596D" w:rsidRDefault="00904D3A">
            <w:pPr>
              <w:pStyle w:val="TableParagraph"/>
              <w:ind w:right="88"/>
              <w:rPr>
                <w:sz w:val="19"/>
              </w:rPr>
            </w:pPr>
            <w:r>
              <w:rPr>
                <w:sz w:val="19"/>
              </w:rPr>
              <w:t>10,610</w:t>
            </w:r>
          </w:p>
        </w:tc>
        <w:tc>
          <w:tcPr>
            <w:tcW w:w="1310" w:type="dxa"/>
            <w:tcBorders>
              <w:top w:val="single" w:sz="3" w:space="0" w:color="000000"/>
              <w:right w:val="single" w:sz="3" w:space="0" w:color="000000"/>
            </w:tcBorders>
          </w:tcPr>
          <w:p w:rsidR="0037596D" w:rsidRDefault="00904D3A">
            <w:pPr>
              <w:pStyle w:val="TableParagraph"/>
              <w:ind w:right="87"/>
              <w:rPr>
                <w:sz w:val="19"/>
              </w:rPr>
            </w:pPr>
            <w:r>
              <w:rPr>
                <w:sz w:val="19"/>
              </w:rPr>
              <w:t>40,440</w:t>
            </w:r>
          </w:p>
        </w:tc>
      </w:tr>
      <w:tr w:rsidR="0037596D" w:rsidTr="0063662C">
        <w:trPr>
          <w:trHeight w:hRule="exact" w:val="502"/>
          <w:tblHeader/>
        </w:trPr>
        <w:tc>
          <w:tcPr>
            <w:tcW w:w="1493" w:type="dxa"/>
            <w:tcBorders>
              <w:bottom w:val="single" w:sz="3" w:space="0" w:color="000000"/>
              <w:right w:val="single" w:sz="3" w:space="0" w:color="000000"/>
            </w:tcBorders>
            <w:shd w:val="clear" w:color="auto" w:fill="D9D9D9"/>
          </w:tcPr>
          <w:p w:rsidR="0037596D" w:rsidRDefault="00904D3A">
            <w:pPr>
              <w:pStyle w:val="TableParagraph"/>
              <w:spacing w:before="23" w:line="276" w:lineRule="auto"/>
              <w:ind w:left="410" w:hanging="135"/>
              <w:jc w:val="left"/>
              <w:rPr>
                <w:sz w:val="19"/>
              </w:rPr>
            </w:pPr>
            <w:r>
              <w:rPr>
                <w:w w:val="105"/>
                <w:sz w:val="19"/>
              </w:rPr>
              <w:t>Materials &amp; Supplies</w:t>
            </w:r>
          </w:p>
        </w:tc>
        <w:tc>
          <w:tcPr>
            <w:tcW w:w="1310" w:type="dxa"/>
            <w:tcBorders>
              <w:left w:val="single" w:sz="3" w:space="0" w:color="000000"/>
              <w:bottom w:val="single" w:sz="3" w:space="0" w:color="000000"/>
            </w:tcBorders>
            <w:shd w:val="clear" w:color="auto" w:fill="D9D9D9"/>
          </w:tcPr>
          <w:p w:rsidR="0037596D" w:rsidRDefault="0037596D"/>
        </w:tc>
        <w:tc>
          <w:tcPr>
            <w:tcW w:w="1310" w:type="dxa"/>
            <w:tcBorders>
              <w:bottom w:val="single" w:sz="3" w:space="0" w:color="000000"/>
              <w:right w:val="single" w:sz="3" w:space="0" w:color="000000"/>
            </w:tcBorders>
            <w:shd w:val="clear" w:color="auto" w:fill="D9D9D9"/>
          </w:tcPr>
          <w:p w:rsidR="0037596D" w:rsidRDefault="00904D3A">
            <w:pPr>
              <w:pStyle w:val="TableParagraph"/>
              <w:spacing w:before="145"/>
              <w:ind w:right="88"/>
              <w:rPr>
                <w:sz w:val="19"/>
              </w:rPr>
            </w:pPr>
            <w:r>
              <w:rPr>
                <w:sz w:val="19"/>
              </w:rPr>
              <w:t>108,459</w:t>
            </w:r>
          </w:p>
        </w:tc>
        <w:tc>
          <w:tcPr>
            <w:tcW w:w="1310" w:type="dxa"/>
            <w:tcBorders>
              <w:left w:val="single" w:sz="3" w:space="0" w:color="000000"/>
              <w:bottom w:val="single" w:sz="3" w:space="0" w:color="000000"/>
            </w:tcBorders>
            <w:shd w:val="clear" w:color="auto" w:fill="D9D9D9"/>
          </w:tcPr>
          <w:p w:rsidR="0037596D" w:rsidRDefault="00904D3A">
            <w:pPr>
              <w:pStyle w:val="TableParagraph"/>
              <w:spacing w:before="145"/>
              <w:ind w:right="88"/>
              <w:rPr>
                <w:sz w:val="19"/>
              </w:rPr>
            </w:pPr>
            <w:r>
              <w:rPr>
                <w:sz w:val="19"/>
              </w:rPr>
              <w:t>10,960</w:t>
            </w:r>
          </w:p>
        </w:tc>
        <w:tc>
          <w:tcPr>
            <w:tcW w:w="1310" w:type="dxa"/>
            <w:tcBorders>
              <w:bottom w:val="single" w:sz="3" w:space="0" w:color="000000"/>
              <w:right w:val="single" w:sz="3" w:space="0" w:color="000000"/>
            </w:tcBorders>
            <w:shd w:val="clear" w:color="auto" w:fill="D9D9D9"/>
          </w:tcPr>
          <w:p w:rsidR="0037596D" w:rsidRDefault="00904D3A">
            <w:pPr>
              <w:pStyle w:val="TableParagraph"/>
              <w:spacing w:before="145"/>
              <w:ind w:right="87"/>
              <w:rPr>
                <w:sz w:val="19"/>
              </w:rPr>
            </w:pPr>
            <w:r>
              <w:rPr>
                <w:sz w:val="19"/>
              </w:rPr>
              <w:t>10,960</w:t>
            </w:r>
          </w:p>
        </w:tc>
        <w:tc>
          <w:tcPr>
            <w:tcW w:w="1310" w:type="dxa"/>
            <w:tcBorders>
              <w:left w:val="single" w:sz="3" w:space="0" w:color="000000"/>
              <w:bottom w:val="single" w:sz="3" w:space="0" w:color="000000"/>
            </w:tcBorders>
            <w:shd w:val="clear" w:color="auto" w:fill="D9D9D9"/>
          </w:tcPr>
          <w:p w:rsidR="0037596D" w:rsidRDefault="00904D3A">
            <w:pPr>
              <w:pStyle w:val="TableParagraph"/>
              <w:spacing w:before="145"/>
              <w:ind w:right="88"/>
              <w:rPr>
                <w:sz w:val="19"/>
              </w:rPr>
            </w:pPr>
            <w:r>
              <w:rPr>
                <w:sz w:val="19"/>
              </w:rPr>
              <w:t>10,960</w:t>
            </w:r>
          </w:p>
        </w:tc>
        <w:tc>
          <w:tcPr>
            <w:tcW w:w="1310" w:type="dxa"/>
            <w:tcBorders>
              <w:bottom w:val="single" w:sz="3" w:space="0" w:color="000000"/>
              <w:right w:val="single" w:sz="3" w:space="0" w:color="000000"/>
            </w:tcBorders>
            <w:shd w:val="clear" w:color="auto" w:fill="D9D9D9"/>
          </w:tcPr>
          <w:p w:rsidR="0037596D" w:rsidRDefault="00904D3A">
            <w:pPr>
              <w:pStyle w:val="TableParagraph"/>
              <w:spacing w:before="145"/>
              <w:ind w:right="87"/>
              <w:rPr>
                <w:sz w:val="19"/>
              </w:rPr>
            </w:pPr>
            <w:r>
              <w:rPr>
                <w:sz w:val="19"/>
              </w:rPr>
              <w:t>141,339</w:t>
            </w:r>
          </w:p>
        </w:tc>
      </w:tr>
      <w:tr w:rsidR="0037596D" w:rsidTr="0063662C">
        <w:trPr>
          <w:trHeight w:hRule="exact" w:val="251"/>
          <w:tblHeader/>
        </w:trPr>
        <w:tc>
          <w:tcPr>
            <w:tcW w:w="1493" w:type="dxa"/>
            <w:tcBorders>
              <w:top w:val="single" w:sz="3" w:space="0" w:color="000000"/>
              <w:bottom w:val="single" w:sz="3" w:space="0" w:color="000000"/>
              <w:right w:val="single" w:sz="3" w:space="0" w:color="000000"/>
            </w:tcBorders>
          </w:tcPr>
          <w:p w:rsidR="0037596D" w:rsidRDefault="00904D3A">
            <w:pPr>
              <w:pStyle w:val="TableParagraph"/>
              <w:ind w:left="76" w:right="69"/>
              <w:jc w:val="center"/>
              <w:rPr>
                <w:sz w:val="19"/>
              </w:rPr>
            </w:pPr>
            <w:r>
              <w:rPr>
                <w:w w:val="105"/>
                <w:sz w:val="19"/>
              </w:rPr>
              <w:t>Travel</w:t>
            </w:r>
          </w:p>
        </w:tc>
        <w:tc>
          <w:tcPr>
            <w:tcW w:w="1310" w:type="dxa"/>
            <w:tcBorders>
              <w:top w:val="single" w:sz="3" w:space="0" w:color="000000"/>
              <w:left w:val="single" w:sz="3" w:space="0" w:color="000000"/>
              <w:bottom w:val="single" w:sz="3" w:space="0" w:color="000000"/>
            </w:tcBorders>
          </w:tcPr>
          <w:p w:rsidR="0037596D" w:rsidRDefault="0037596D"/>
        </w:tc>
        <w:tc>
          <w:tcPr>
            <w:tcW w:w="1310" w:type="dxa"/>
            <w:tcBorders>
              <w:top w:val="single" w:sz="3" w:space="0" w:color="000000"/>
              <w:bottom w:val="single" w:sz="3" w:space="0" w:color="000000"/>
              <w:right w:val="single" w:sz="3" w:space="0" w:color="000000"/>
            </w:tcBorders>
          </w:tcPr>
          <w:p w:rsidR="0037596D" w:rsidRDefault="00904D3A">
            <w:pPr>
              <w:pStyle w:val="TableParagraph"/>
              <w:ind w:right="89"/>
              <w:rPr>
                <w:sz w:val="19"/>
              </w:rPr>
            </w:pPr>
            <w:r>
              <w:rPr>
                <w:sz w:val="19"/>
              </w:rPr>
              <w:t>17,849</w:t>
            </w:r>
          </w:p>
        </w:tc>
        <w:tc>
          <w:tcPr>
            <w:tcW w:w="1310" w:type="dxa"/>
            <w:tcBorders>
              <w:top w:val="single" w:sz="3" w:space="0" w:color="000000"/>
              <w:left w:val="single" w:sz="3" w:space="0" w:color="000000"/>
              <w:bottom w:val="single" w:sz="3" w:space="0" w:color="000000"/>
            </w:tcBorders>
          </w:tcPr>
          <w:p w:rsidR="0037596D" w:rsidRDefault="00904D3A">
            <w:pPr>
              <w:pStyle w:val="TableParagraph"/>
              <w:ind w:right="88"/>
              <w:rPr>
                <w:sz w:val="19"/>
              </w:rPr>
            </w:pPr>
            <w:r>
              <w:rPr>
                <w:sz w:val="19"/>
              </w:rPr>
              <w:t>17,849</w:t>
            </w:r>
          </w:p>
        </w:tc>
        <w:tc>
          <w:tcPr>
            <w:tcW w:w="1310" w:type="dxa"/>
            <w:tcBorders>
              <w:top w:val="single" w:sz="3" w:space="0" w:color="000000"/>
              <w:bottom w:val="single" w:sz="3" w:space="0" w:color="000000"/>
              <w:right w:val="single" w:sz="3" w:space="0" w:color="000000"/>
            </w:tcBorders>
          </w:tcPr>
          <w:p w:rsidR="0037596D" w:rsidRDefault="00904D3A">
            <w:pPr>
              <w:pStyle w:val="TableParagraph"/>
              <w:ind w:right="87"/>
              <w:rPr>
                <w:sz w:val="19"/>
              </w:rPr>
            </w:pPr>
            <w:r>
              <w:rPr>
                <w:sz w:val="19"/>
              </w:rPr>
              <w:t>22,377</w:t>
            </w:r>
          </w:p>
        </w:tc>
        <w:tc>
          <w:tcPr>
            <w:tcW w:w="1310" w:type="dxa"/>
            <w:tcBorders>
              <w:top w:val="single" w:sz="3" w:space="0" w:color="000000"/>
              <w:left w:val="single" w:sz="3" w:space="0" w:color="000000"/>
              <w:bottom w:val="single" w:sz="3" w:space="0" w:color="000000"/>
            </w:tcBorders>
          </w:tcPr>
          <w:p w:rsidR="0037596D" w:rsidRDefault="00904D3A">
            <w:pPr>
              <w:pStyle w:val="TableParagraph"/>
              <w:ind w:right="88"/>
              <w:rPr>
                <w:sz w:val="19"/>
              </w:rPr>
            </w:pPr>
            <w:r>
              <w:rPr>
                <w:sz w:val="19"/>
              </w:rPr>
              <w:t>22,377</w:t>
            </w:r>
          </w:p>
        </w:tc>
        <w:tc>
          <w:tcPr>
            <w:tcW w:w="1310" w:type="dxa"/>
            <w:tcBorders>
              <w:top w:val="single" w:sz="3" w:space="0" w:color="000000"/>
              <w:bottom w:val="single" w:sz="3" w:space="0" w:color="000000"/>
              <w:right w:val="single" w:sz="3" w:space="0" w:color="000000"/>
            </w:tcBorders>
          </w:tcPr>
          <w:p w:rsidR="0037596D" w:rsidRDefault="00904D3A">
            <w:pPr>
              <w:pStyle w:val="TableParagraph"/>
              <w:ind w:right="87"/>
              <w:rPr>
                <w:sz w:val="19"/>
              </w:rPr>
            </w:pPr>
            <w:r>
              <w:rPr>
                <w:sz w:val="19"/>
              </w:rPr>
              <w:t>80,452</w:t>
            </w:r>
          </w:p>
        </w:tc>
      </w:tr>
      <w:tr w:rsidR="0037596D" w:rsidTr="0063662C">
        <w:trPr>
          <w:trHeight w:hRule="exact" w:val="251"/>
          <w:tblHeader/>
        </w:trPr>
        <w:tc>
          <w:tcPr>
            <w:tcW w:w="1493" w:type="dxa"/>
            <w:tcBorders>
              <w:top w:val="single" w:sz="3" w:space="0" w:color="000000"/>
              <w:bottom w:val="single" w:sz="3" w:space="0" w:color="000000"/>
              <w:right w:val="single" w:sz="3" w:space="0" w:color="000000"/>
            </w:tcBorders>
            <w:shd w:val="clear" w:color="auto" w:fill="D9D9D9"/>
          </w:tcPr>
          <w:p w:rsidR="0037596D" w:rsidRDefault="00904D3A">
            <w:pPr>
              <w:pStyle w:val="TableParagraph"/>
              <w:ind w:left="76" w:right="62"/>
              <w:jc w:val="center"/>
              <w:rPr>
                <w:sz w:val="19"/>
              </w:rPr>
            </w:pPr>
            <w:r>
              <w:rPr>
                <w:w w:val="105"/>
                <w:sz w:val="19"/>
              </w:rPr>
              <w:t>Tuition</w:t>
            </w:r>
          </w:p>
        </w:tc>
        <w:tc>
          <w:tcPr>
            <w:tcW w:w="1310" w:type="dxa"/>
            <w:tcBorders>
              <w:top w:val="single" w:sz="3" w:space="0" w:color="000000"/>
              <w:left w:val="single" w:sz="3" w:space="0" w:color="000000"/>
              <w:bottom w:val="single" w:sz="3" w:space="0" w:color="000000"/>
            </w:tcBorders>
            <w:shd w:val="clear" w:color="auto" w:fill="D9D9D9"/>
          </w:tcPr>
          <w:p w:rsidR="0037596D" w:rsidRDefault="00904D3A">
            <w:pPr>
              <w:pStyle w:val="TableParagraph"/>
              <w:ind w:left="23"/>
              <w:jc w:val="left"/>
              <w:rPr>
                <w:sz w:val="19"/>
              </w:rPr>
            </w:pPr>
            <w:r>
              <w:rPr>
                <w:w w:val="105"/>
                <w:sz w:val="19"/>
              </w:rPr>
              <w:t>PhD student</w:t>
            </w:r>
          </w:p>
        </w:tc>
        <w:tc>
          <w:tcPr>
            <w:tcW w:w="1310" w:type="dxa"/>
            <w:tcBorders>
              <w:top w:val="single" w:sz="3" w:space="0" w:color="000000"/>
              <w:bottom w:val="single" w:sz="3" w:space="0" w:color="000000"/>
              <w:right w:val="single" w:sz="3" w:space="0" w:color="000000"/>
            </w:tcBorders>
            <w:shd w:val="clear" w:color="auto" w:fill="D9D9D9"/>
          </w:tcPr>
          <w:p w:rsidR="0037596D" w:rsidRDefault="00904D3A">
            <w:pPr>
              <w:pStyle w:val="TableParagraph"/>
              <w:ind w:right="89"/>
              <w:rPr>
                <w:sz w:val="19"/>
              </w:rPr>
            </w:pPr>
            <w:r>
              <w:rPr>
                <w:sz w:val="19"/>
              </w:rPr>
              <w:t>14,976</w:t>
            </w:r>
          </w:p>
        </w:tc>
        <w:tc>
          <w:tcPr>
            <w:tcW w:w="1310" w:type="dxa"/>
            <w:tcBorders>
              <w:top w:val="single" w:sz="3" w:space="0" w:color="000000"/>
              <w:left w:val="single" w:sz="3" w:space="0" w:color="000000"/>
              <w:bottom w:val="single" w:sz="3" w:space="0" w:color="000000"/>
            </w:tcBorders>
            <w:shd w:val="clear" w:color="auto" w:fill="D9D9D9"/>
          </w:tcPr>
          <w:p w:rsidR="0037596D" w:rsidRDefault="00904D3A">
            <w:pPr>
              <w:pStyle w:val="TableParagraph"/>
              <w:ind w:right="88"/>
              <w:rPr>
                <w:sz w:val="19"/>
              </w:rPr>
            </w:pPr>
            <w:r>
              <w:rPr>
                <w:sz w:val="19"/>
              </w:rPr>
              <w:t>15,651</w:t>
            </w:r>
          </w:p>
        </w:tc>
        <w:tc>
          <w:tcPr>
            <w:tcW w:w="1310" w:type="dxa"/>
            <w:tcBorders>
              <w:top w:val="single" w:sz="3" w:space="0" w:color="000000"/>
              <w:bottom w:val="single" w:sz="3" w:space="0" w:color="000000"/>
              <w:right w:val="single" w:sz="3" w:space="0" w:color="000000"/>
            </w:tcBorders>
            <w:shd w:val="clear" w:color="auto" w:fill="D9D9D9"/>
          </w:tcPr>
          <w:p w:rsidR="0037596D" w:rsidRDefault="00904D3A">
            <w:pPr>
              <w:pStyle w:val="TableParagraph"/>
              <w:ind w:right="87"/>
              <w:rPr>
                <w:sz w:val="19"/>
              </w:rPr>
            </w:pPr>
            <w:r>
              <w:rPr>
                <w:sz w:val="19"/>
              </w:rPr>
              <w:t>16,353</w:t>
            </w:r>
          </w:p>
        </w:tc>
        <w:tc>
          <w:tcPr>
            <w:tcW w:w="1310" w:type="dxa"/>
            <w:tcBorders>
              <w:top w:val="single" w:sz="3" w:space="0" w:color="000000"/>
              <w:left w:val="single" w:sz="3" w:space="0" w:color="000000"/>
              <w:bottom w:val="single" w:sz="3" w:space="0" w:color="000000"/>
            </w:tcBorders>
            <w:shd w:val="clear" w:color="auto" w:fill="D9D9D9"/>
          </w:tcPr>
          <w:p w:rsidR="0037596D" w:rsidRDefault="00904D3A">
            <w:pPr>
              <w:pStyle w:val="TableParagraph"/>
              <w:ind w:right="88"/>
              <w:rPr>
                <w:sz w:val="19"/>
              </w:rPr>
            </w:pPr>
            <w:r>
              <w:rPr>
                <w:sz w:val="19"/>
              </w:rPr>
              <w:t>17,091</w:t>
            </w:r>
          </w:p>
        </w:tc>
        <w:tc>
          <w:tcPr>
            <w:tcW w:w="1310" w:type="dxa"/>
            <w:tcBorders>
              <w:top w:val="single" w:sz="3" w:space="0" w:color="000000"/>
              <w:bottom w:val="single" w:sz="3" w:space="0" w:color="000000"/>
              <w:right w:val="single" w:sz="3" w:space="0" w:color="000000"/>
            </w:tcBorders>
            <w:shd w:val="clear" w:color="auto" w:fill="D9D9D9"/>
          </w:tcPr>
          <w:p w:rsidR="0037596D" w:rsidRDefault="00904D3A">
            <w:pPr>
              <w:pStyle w:val="TableParagraph"/>
              <w:ind w:right="87"/>
              <w:rPr>
                <w:sz w:val="19"/>
              </w:rPr>
            </w:pPr>
            <w:r>
              <w:rPr>
                <w:sz w:val="19"/>
              </w:rPr>
              <w:t>64,071</w:t>
            </w:r>
          </w:p>
        </w:tc>
      </w:tr>
      <w:tr w:rsidR="0037596D" w:rsidTr="0063662C">
        <w:trPr>
          <w:trHeight w:hRule="exact" w:val="251"/>
          <w:tblHeader/>
        </w:trPr>
        <w:tc>
          <w:tcPr>
            <w:tcW w:w="1493" w:type="dxa"/>
            <w:tcBorders>
              <w:top w:val="single" w:sz="3" w:space="0" w:color="000000"/>
              <w:right w:val="single" w:sz="3" w:space="0" w:color="000000"/>
            </w:tcBorders>
          </w:tcPr>
          <w:p w:rsidR="0037596D" w:rsidRDefault="00904D3A">
            <w:pPr>
              <w:pStyle w:val="TableParagraph"/>
              <w:ind w:left="76" w:right="65"/>
              <w:jc w:val="center"/>
              <w:rPr>
                <w:sz w:val="19"/>
              </w:rPr>
            </w:pPr>
            <w:r>
              <w:rPr>
                <w:w w:val="105"/>
                <w:sz w:val="19"/>
              </w:rPr>
              <w:t>Indirect Costs</w:t>
            </w:r>
          </w:p>
        </w:tc>
        <w:tc>
          <w:tcPr>
            <w:tcW w:w="1310" w:type="dxa"/>
            <w:tcBorders>
              <w:top w:val="single" w:sz="3" w:space="0" w:color="000000"/>
              <w:left w:val="single" w:sz="3" w:space="0" w:color="000000"/>
            </w:tcBorders>
          </w:tcPr>
          <w:p w:rsidR="0037596D" w:rsidRDefault="00904D3A">
            <w:pPr>
              <w:pStyle w:val="TableParagraph"/>
              <w:ind w:left="23"/>
              <w:jc w:val="left"/>
              <w:rPr>
                <w:sz w:val="19"/>
              </w:rPr>
            </w:pPr>
            <w:r>
              <w:rPr>
                <w:sz w:val="19"/>
              </w:rPr>
              <w:t>OSU Overhead</w:t>
            </w:r>
          </w:p>
        </w:tc>
        <w:tc>
          <w:tcPr>
            <w:tcW w:w="1310" w:type="dxa"/>
            <w:tcBorders>
              <w:top w:val="single" w:sz="3" w:space="0" w:color="000000"/>
              <w:right w:val="single" w:sz="3" w:space="0" w:color="000000"/>
            </w:tcBorders>
          </w:tcPr>
          <w:p w:rsidR="0037596D" w:rsidRDefault="00904D3A">
            <w:pPr>
              <w:pStyle w:val="TableParagraph"/>
              <w:ind w:right="88"/>
              <w:rPr>
                <w:sz w:val="19"/>
              </w:rPr>
            </w:pPr>
            <w:r>
              <w:rPr>
                <w:sz w:val="19"/>
              </w:rPr>
              <w:t>24,906</w:t>
            </w:r>
          </w:p>
        </w:tc>
        <w:tc>
          <w:tcPr>
            <w:tcW w:w="1310" w:type="dxa"/>
            <w:tcBorders>
              <w:top w:val="single" w:sz="3" w:space="0" w:color="000000"/>
              <w:left w:val="single" w:sz="3" w:space="0" w:color="000000"/>
            </w:tcBorders>
          </w:tcPr>
          <w:p w:rsidR="0037596D" w:rsidRDefault="00904D3A">
            <w:pPr>
              <w:pStyle w:val="TableParagraph"/>
              <w:ind w:right="88"/>
              <w:rPr>
                <w:sz w:val="19"/>
              </w:rPr>
            </w:pPr>
            <w:r>
              <w:rPr>
                <w:sz w:val="19"/>
              </w:rPr>
              <w:t>13,480</w:t>
            </w:r>
          </w:p>
        </w:tc>
        <w:tc>
          <w:tcPr>
            <w:tcW w:w="1310" w:type="dxa"/>
            <w:tcBorders>
              <w:top w:val="single" w:sz="3" w:space="0" w:color="000000"/>
              <w:right w:val="single" w:sz="3" w:space="0" w:color="000000"/>
            </w:tcBorders>
          </w:tcPr>
          <w:p w:rsidR="0037596D" w:rsidRDefault="00904D3A">
            <w:pPr>
              <w:pStyle w:val="TableParagraph"/>
              <w:ind w:right="87"/>
              <w:rPr>
                <w:sz w:val="19"/>
              </w:rPr>
            </w:pPr>
            <w:r>
              <w:rPr>
                <w:sz w:val="19"/>
              </w:rPr>
              <w:t>14,427</w:t>
            </w:r>
          </w:p>
        </w:tc>
        <w:tc>
          <w:tcPr>
            <w:tcW w:w="1310" w:type="dxa"/>
            <w:tcBorders>
              <w:top w:val="single" w:sz="3" w:space="0" w:color="000000"/>
              <w:left w:val="single" w:sz="3" w:space="0" w:color="000000"/>
            </w:tcBorders>
          </w:tcPr>
          <w:p w:rsidR="0037596D" w:rsidRDefault="00904D3A">
            <w:pPr>
              <w:pStyle w:val="TableParagraph"/>
              <w:ind w:right="88"/>
              <w:rPr>
                <w:sz w:val="19"/>
              </w:rPr>
            </w:pPr>
            <w:r>
              <w:rPr>
                <w:sz w:val="19"/>
              </w:rPr>
              <w:t>14,719</w:t>
            </w:r>
          </w:p>
        </w:tc>
        <w:tc>
          <w:tcPr>
            <w:tcW w:w="1310" w:type="dxa"/>
            <w:tcBorders>
              <w:top w:val="single" w:sz="3" w:space="0" w:color="000000"/>
              <w:right w:val="single" w:sz="3" w:space="0" w:color="000000"/>
            </w:tcBorders>
          </w:tcPr>
          <w:p w:rsidR="0037596D" w:rsidRDefault="00904D3A">
            <w:pPr>
              <w:pStyle w:val="TableParagraph"/>
              <w:ind w:right="87"/>
              <w:rPr>
                <w:sz w:val="19"/>
              </w:rPr>
            </w:pPr>
            <w:r>
              <w:rPr>
                <w:sz w:val="19"/>
              </w:rPr>
              <w:t>67,532</w:t>
            </w:r>
          </w:p>
        </w:tc>
      </w:tr>
      <w:tr w:rsidR="0037596D" w:rsidTr="0063662C">
        <w:trPr>
          <w:trHeight w:hRule="exact" w:val="514"/>
          <w:tblHeader/>
        </w:trPr>
        <w:tc>
          <w:tcPr>
            <w:tcW w:w="1493" w:type="dxa"/>
            <w:tcBorders>
              <w:right w:val="single" w:sz="3" w:space="0" w:color="000000"/>
            </w:tcBorders>
            <w:shd w:val="clear" w:color="auto" w:fill="D9D9D9"/>
          </w:tcPr>
          <w:p w:rsidR="0037596D" w:rsidRDefault="00904D3A">
            <w:pPr>
              <w:pStyle w:val="TableParagraph"/>
              <w:spacing w:before="23" w:line="271" w:lineRule="auto"/>
              <w:ind w:left="355" w:right="27" w:hanging="251"/>
              <w:jc w:val="left"/>
              <w:rPr>
                <w:rFonts w:ascii="Calibri" w:hAnsi="Calibri"/>
                <w:sz w:val="19"/>
              </w:rPr>
            </w:pPr>
            <w:r>
              <w:rPr>
                <w:w w:val="105"/>
                <w:sz w:val="19"/>
              </w:rPr>
              <w:t>Leveraged Costs (GDRC)</w:t>
            </w:r>
            <w:r>
              <w:rPr>
                <w:rFonts w:ascii="Calibri" w:hAnsi="Calibri"/>
                <w:w w:val="105"/>
                <w:sz w:val="19"/>
              </w:rPr>
              <w:t>†</w:t>
            </w:r>
          </w:p>
        </w:tc>
        <w:tc>
          <w:tcPr>
            <w:tcW w:w="1310" w:type="dxa"/>
            <w:tcBorders>
              <w:left w:val="single" w:sz="3" w:space="0" w:color="000000"/>
            </w:tcBorders>
            <w:shd w:val="clear" w:color="auto" w:fill="D9D9D9"/>
          </w:tcPr>
          <w:p w:rsidR="0037596D" w:rsidRDefault="0037596D"/>
        </w:tc>
        <w:tc>
          <w:tcPr>
            <w:tcW w:w="1310" w:type="dxa"/>
            <w:tcBorders>
              <w:right w:val="single" w:sz="3" w:space="0" w:color="000000"/>
            </w:tcBorders>
            <w:shd w:val="clear" w:color="auto" w:fill="D9D9D9"/>
          </w:tcPr>
          <w:p w:rsidR="0037596D" w:rsidRDefault="0037596D"/>
        </w:tc>
        <w:tc>
          <w:tcPr>
            <w:tcW w:w="1310" w:type="dxa"/>
            <w:tcBorders>
              <w:left w:val="single" w:sz="3" w:space="0" w:color="000000"/>
            </w:tcBorders>
            <w:shd w:val="clear" w:color="auto" w:fill="D9D9D9"/>
          </w:tcPr>
          <w:p w:rsidR="0037596D" w:rsidRDefault="0037596D"/>
        </w:tc>
        <w:tc>
          <w:tcPr>
            <w:tcW w:w="1310" w:type="dxa"/>
            <w:tcBorders>
              <w:right w:val="single" w:sz="3" w:space="0" w:color="000000"/>
            </w:tcBorders>
            <w:shd w:val="clear" w:color="auto" w:fill="D9D9D9"/>
          </w:tcPr>
          <w:p w:rsidR="0037596D" w:rsidRDefault="0037596D"/>
        </w:tc>
        <w:tc>
          <w:tcPr>
            <w:tcW w:w="1310" w:type="dxa"/>
            <w:tcBorders>
              <w:left w:val="single" w:sz="3" w:space="0" w:color="000000"/>
            </w:tcBorders>
            <w:shd w:val="clear" w:color="auto" w:fill="D9D9D9"/>
          </w:tcPr>
          <w:p w:rsidR="0037596D" w:rsidRDefault="0037596D"/>
        </w:tc>
        <w:tc>
          <w:tcPr>
            <w:tcW w:w="1310" w:type="dxa"/>
            <w:tcBorders>
              <w:right w:val="single" w:sz="3" w:space="0" w:color="000000"/>
            </w:tcBorders>
            <w:shd w:val="clear" w:color="auto" w:fill="D9D9D9"/>
          </w:tcPr>
          <w:p w:rsidR="0037596D" w:rsidRDefault="00904D3A">
            <w:pPr>
              <w:pStyle w:val="TableParagraph"/>
              <w:spacing w:before="151"/>
              <w:ind w:right="87"/>
              <w:rPr>
                <w:sz w:val="19"/>
              </w:rPr>
            </w:pPr>
            <w:r>
              <w:rPr>
                <w:sz w:val="19"/>
              </w:rPr>
              <w:t>130,000</w:t>
            </w:r>
          </w:p>
        </w:tc>
      </w:tr>
      <w:tr w:rsidR="0037596D" w:rsidTr="0063662C">
        <w:trPr>
          <w:trHeight w:hRule="exact" w:val="508"/>
          <w:tblHeader/>
        </w:trPr>
        <w:tc>
          <w:tcPr>
            <w:tcW w:w="1493" w:type="dxa"/>
            <w:tcBorders>
              <w:right w:val="single" w:sz="3" w:space="0" w:color="000000"/>
            </w:tcBorders>
          </w:tcPr>
          <w:p w:rsidR="0037596D" w:rsidRDefault="00904D3A">
            <w:pPr>
              <w:pStyle w:val="TableParagraph"/>
              <w:spacing w:line="276" w:lineRule="auto"/>
              <w:ind w:left="434" w:hanging="245"/>
              <w:jc w:val="left"/>
              <w:rPr>
                <w:sz w:val="19"/>
              </w:rPr>
            </w:pPr>
            <w:r>
              <w:rPr>
                <w:w w:val="105"/>
                <w:sz w:val="19"/>
              </w:rPr>
              <w:t>EMC Funding Request</w:t>
            </w:r>
          </w:p>
        </w:tc>
        <w:tc>
          <w:tcPr>
            <w:tcW w:w="1310" w:type="dxa"/>
            <w:tcBorders>
              <w:left w:val="single" w:sz="3" w:space="0" w:color="000000"/>
            </w:tcBorders>
          </w:tcPr>
          <w:p w:rsidR="0037596D" w:rsidRDefault="0037596D"/>
        </w:tc>
        <w:tc>
          <w:tcPr>
            <w:tcW w:w="1310" w:type="dxa"/>
            <w:tcBorders>
              <w:right w:val="single" w:sz="3" w:space="0" w:color="000000"/>
            </w:tcBorders>
          </w:tcPr>
          <w:p w:rsidR="0037596D" w:rsidRDefault="00904D3A">
            <w:pPr>
              <w:pStyle w:val="TableParagraph"/>
              <w:spacing w:before="151"/>
              <w:ind w:right="88"/>
              <w:rPr>
                <w:sz w:val="19"/>
              </w:rPr>
            </w:pPr>
            <w:r>
              <w:rPr>
                <w:sz w:val="19"/>
              </w:rPr>
              <w:t>247,428</w:t>
            </w:r>
          </w:p>
        </w:tc>
        <w:tc>
          <w:tcPr>
            <w:tcW w:w="1310" w:type="dxa"/>
            <w:tcBorders>
              <w:left w:val="single" w:sz="3" w:space="0" w:color="000000"/>
            </w:tcBorders>
          </w:tcPr>
          <w:p w:rsidR="0037596D" w:rsidRDefault="00904D3A">
            <w:pPr>
              <w:pStyle w:val="TableParagraph"/>
              <w:spacing w:before="151"/>
              <w:ind w:right="88"/>
              <w:rPr>
                <w:sz w:val="19"/>
              </w:rPr>
            </w:pPr>
            <w:r>
              <w:rPr>
                <w:sz w:val="19"/>
              </w:rPr>
              <w:t>141,465</w:t>
            </w:r>
          </w:p>
        </w:tc>
        <w:tc>
          <w:tcPr>
            <w:tcW w:w="1310" w:type="dxa"/>
            <w:tcBorders>
              <w:right w:val="single" w:sz="3" w:space="0" w:color="000000"/>
            </w:tcBorders>
          </w:tcPr>
          <w:p w:rsidR="0037596D" w:rsidRDefault="00904D3A">
            <w:pPr>
              <w:pStyle w:val="TableParagraph"/>
              <w:spacing w:before="151"/>
              <w:ind w:right="87"/>
              <w:rPr>
                <w:sz w:val="19"/>
              </w:rPr>
            </w:pPr>
            <w:r>
              <w:rPr>
                <w:sz w:val="19"/>
              </w:rPr>
              <w:t>151,006</w:t>
            </w:r>
          </w:p>
        </w:tc>
        <w:tc>
          <w:tcPr>
            <w:tcW w:w="1310" w:type="dxa"/>
            <w:tcBorders>
              <w:left w:val="single" w:sz="3" w:space="0" w:color="000000"/>
            </w:tcBorders>
          </w:tcPr>
          <w:p w:rsidR="0037596D" w:rsidRDefault="00904D3A">
            <w:pPr>
              <w:pStyle w:val="TableParagraph"/>
              <w:spacing w:before="151"/>
              <w:ind w:right="88"/>
              <w:rPr>
                <w:sz w:val="19"/>
              </w:rPr>
            </w:pPr>
            <w:r>
              <w:rPr>
                <w:sz w:val="19"/>
              </w:rPr>
              <w:t>154,472</w:t>
            </w:r>
          </w:p>
        </w:tc>
        <w:tc>
          <w:tcPr>
            <w:tcW w:w="1310" w:type="dxa"/>
            <w:tcBorders>
              <w:right w:val="single" w:sz="3" w:space="0" w:color="000000"/>
            </w:tcBorders>
          </w:tcPr>
          <w:p w:rsidR="0037596D" w:rsidRDefault="00904D3A">
            <w:pPr>
              <w:pStyle w:val="TableParagraph"/>
              <w:spacing w:before="151"/>
              <w:ind w:right="87"/>
              <w:rPr>
                <w:sz w:val="19"/>
              </w:rPr>
            </w:pPr>
            <w:r>
              <w:rPr>
                <w:sz w:val="19"/>
              </w:rPr>
              <w:t>694,371</w:t>
            </w:r>
          </w:p>
        </w:tc>
      </w:tr>
      <w:tr w:rsidR="0037596D" w:rsidTr="0063662C">
        <w:trPr>
          <w:trHeight w:hRule="exact" w:val="753"/>
          <w:tblHeader/>
        </w:trPr>
        <w:tc>
          <w:tcPr>
            <w:tcW w:w="9352" w:type="dxa"/>
            <w:gridSpan w:val="7"/>
            <w:tcBorders>
              <w:left w:val="single" w:sz="2" w:space="0" w:color="D4D4D4"/>
              <w:bottom w:val="single" w:sz="3" w:space="0" w:color="D4D4D4"/>
              <w:right w:val="single" w:sz="3" w:space="0" w:color="D4D4D4"/>
            </w:tcBorders>
          </w:tcPr>
          <w:p w:rsidR="0037596D" w:rsidRDefault="00904D3A">
            <w:pPr>
              <w:pStyle w:val="TableParagraph"/>
              <w:spacing w:before="15" w:line="276" w:lineRule="auto"/>
              <w:ind w:left="25" w:right="14"/>
              <w:jc w:val="left"/>
              <w:rPr>
                <w:sz w:val="17"/>
              </w:rPr>
            </w:pPr>
            <w:r>
              <w:rPr>
                <w:rFonts w:ascii="Calibri" w:hAnsi="Calibri"/>
                <w:w w:val="105"/>
                <w:sz w:val="17"/>
              </w:rPr>
              <w:t>†</w:t>
            </w:r>
            <w:r>
              <w:rPr>
                <w:rFonts w:ascii="Calibri" w:hAnsi="Calibri"/>
                <w:spacing w:val="-6"/>
                <w:w w:val="105"/>
                <w:sz w:val="17"/>
              </w:rPr>
              <w:t xml:space="preserve"> </w:t>
            </w:r>
            <w:r>
              <w:rPr>
                <w:w w:val="105"/>
                <w:sz w:val="17"/>
              </w:rPr>
              <w:t>Note:</w:t>
            </w:r>
            <w:r>
              <w:rPr>
                <w:spacing w:val="-7"/>
                <w:w w:val="105"/>
                <w:sz w:val="17"/>
              </w:rPr>
              <w:t xml:space="preserve"> </w:t>
            </w:r>
            <w:r>
              <w:rPr>
                <w:w w:val="105"/>
                <w:sz w:val="17"/>
              </w:rPr>
              <w:t>These</w:t>
            </w:r>
            <w:r>
              <w:rPr>
                <w:spacing w:val="-7"/>
                <w:w w:val="105"/>
                <w:sz w:val="17"/>
              </w:rPr>
              <w:t xml:space="preserve"> </w:t>
            </w:r>
            <w:r>
              <w:rPr>
                <w:spacing w:val="-3"/>
                <w:w w:val="105"/>
                <w:sz w:val="17"/>
              </w:rPr>
              <w:t>are</w:t>
            </w:r>
            <w:r>
              <w:rPr>
                <w:spacing w:val="-7"/>
                <w:w w:val="105"/>
                <w:sz w:val="17"/>
              </w:rPr>
              <w:t xml:space="preserve"> </w:t>
            </w:r>
            <w:r>
              <w:rPr>
                <w:w w:val="105"/>
                <w:sz w:val="17"/>
              </w:rPr>
              <w:t>estimated</w:t>
            </w:r>
            <w:r>
              <w:rPr>
                <w:spacing w:val="-10"/>
                <w:w w:val="105"/>
                <w:sz w:val="17"/>
              </w:rPr>
              <w:t xml:space="preserve"> </w:t>
            </w:r>
            <w:r>
              <w:rPr>
                <w:spacing w:val="-3"/>
                <w:w w:val="105"/>
                <w:sz w:val="17"/>
              </w:rPr>
              <w:t>costs</w:t>
            </w:r>
            <w:r>
              <w:rPr>
                <w:spacing w:val="-9"/>
                <w:w w:val="105"/>
                <w:sz w:val="17"/>
              </w:rPr>
              <w:t xml:space="preserve"> </w:t>
            </w:r>
            <w:r>
              <w:rPr>
                <w:spacing w:val="-3"/>
                <w:w w:val="105"/>
                <w:sz w:val="17"/>
              </w:rPr>
              <w:t>that</w:t>
            </w:r>
            <w:r>
              <w:rPr>
                <w:spacing w:val="-8"/>
                <w:w w:val="105"/>
                <w:sz w:val="17"/>
              </w:rPr>
              <w:t xml:space="preserve"> </w:t>
            </w:r>
            <w:r>
              <w:rPr>
                <w:w w:val="105"/>
                <w:sz w:val="17"/>
              </w:rPr>
              <w:t>will</w:t>
            </w:r>
            <w:r>
              <w:rPr>
                <w:spacing w:val="-7"/>
                <w:w w:val="105"/>
                <w:sz w:val="17"/>
              </w:rPr>
              <w:t xml:space="preserve"> </w:t>
            </w:r>
            <w:r>
              <w:rPr>
                <w:w w:val="105"/>
                <w:sz w:val="17"/>
              </w:rPr>
              <w:t>be</w:t>
            </w:r>
            <w:r>
              <w:rPr>
                <w:spacing w:val="-7"/>
                <w:w w:val="105"/>
                <w:sz w:val="17"/>
              </w:rPr>
              <w:t xml:space="preserve"> </w:t>
            </w:r>
            <w:r>
              <w:rPr>
                <w:spacing w:val="-3"/>
                <w:w w:val="105"/>
                <w:sz w:val="17"/>
              </w:rPr>
              <w:t>incurred</w:t>
            </w:r>
            <w:r>
              <w:rPr>
                <w:spacing w:val="-10"/>
                <w:w w:val="105"/>
                <w:sz w:val="17"/>
              </w:rPr>
              <w:t xml:space="preserve"> </w:t>
            </w:r>
            <w:r>
              <w:rPr>
                <w:w w:val="105"/>
                <w:sz w:val="17"/>
              </w:rPr>
              <w:t>by</w:t>
            </w:r>
            <w:r>
              <w:rPr>
                <w:spacing w:val="-15"/>
                <w:w w:val="105"/>
                <w:sz w:val="17"/>
              </w:rPr>
              <w:t xml:space="preserve"> </w:t>
            </w:r>
            <w:r>
              <w:rPr>
                <w:spacing w:val="-3"/>
                <w:w w:val="105"/>
                <w:sz w:val="17"/>
              </w:rPr>
              <w:t>Green</w:t>
            </w:r>
            <w:r>
              <w:rPr>
                <w:spacing w:val="-11"/>
                <w:w w:val="105"/>
                <w:sz w:val="17"/>
              </w:rPr>
              <w:t xml:space="preserve"> </w:t>
            </w:r>
            <w:r>
              <w:rPr>
                <w:spacing w:val="-3"/>
                <w:w w:val="105"/>
                <w:sz w:val="17"/>
              </w:rPr>
              <w:t>Diamond</w:t>
            </w:r>
            <w:r>
              <w:rPr>
                <w:spacing w:val="-10"/>
                <w:w w:val="105"/>
                <w:sz w:val="17"/>
              </w:rPr>
              <w:t xml:space="preserve"> </w:t>
            </w:r>
            <w:r>
              <w:rPr>
                <w:spacing w:val="-3"/>
                <w:w w:val="105"/>
                <w:sz w:val="17"/>
              </w:rPr>
              <w:t>Resource</w:t>
            </w:r>
            <w:r>
              <w:rPr>
                <w:spacing w:val="-7"/>
                <w:w w:val="105"/>
                <w:sz w:val="17"/>
              </w:rPr>
              <w:t xml:space="preserve"> </w:t>
            </w:r>
            <w:r>
              <w:rPr>
                <w:spacing w:val="-4"/>
                <w:w w:val="105"/>
                <w:sz w:val="17"/>
              </w:rPr>
              <w:t>Company</w:t>
            </w:r>
            <w:r>
              <w:rPr>
                <w:spacing w:val="-15"/>
                <w:w w:val="105"/>
                <w:sz w:val="17"/>
              </w:rPr>
              <w:t xml:space="preserve"> </w:t>
            </w:r>
            <w:r>
              <w:rPr>
                <w:w w:val="105"/>
                <w:sz w:val="17"/>
              </w:rPr>
              <w:t>(GDRC)</w:t>
            </w:r>
            <w:r>
              <w:rPr>
                <w:spacing w:val="-6"/>
                <w:w w:val="105"/>
                <w:sz w:val="17"/>
              </w:rPr>
              <w:t xml:space="preserve"> </w:t>
            </w:r>
            <w:r>
              <w:rPr>
                <w:w w:val="105"/>
                <w:sz w:val="17"/>
              </w:rPr>
              <w:t>over</w:t>
            </w:r>
            <w:r>
              <w:rPr>
                <w:spacing w:val="-10"/>
                <w:w w:val="105"/>
                <w:sz w:val="17"/>
              </w:rPr>
              <w:t xml:space="preserve"> </w:t>
            </w:r>
            <w:r>
              <w:rPr>
                <w:w w:val="105"/>
                <w:sz w:val="17"/>
              </w:rPr>
              <w:t>the</w:t>
            </w:r>
            <w:r>
              <w:rPr>
                <w:spacing w:val="-7"/>
                <w:w w:val="105"/>
                <w:sz w:val="17"/>
              </w:rPr>
              <w:t xml:space="preserve"> </w:t>
            </w:r>
            <w:r>
              <w:rPr>
                <w:spacing w:val="-3"/>
                <w:w w:val="105"/>
                <w:sz w:val="17"/>
              </w:rPr>
              <w:t>duration</w:t>
            </w:r>
            <w:r>
              <w:rPr>
                <w:spacing w:val="-10"/>
                <w:w w:val="105"/>
                <w:sz w:val="17"/>
              </w:rPr>
              <w:t xml:space="preserve"> </w:t>
            </w:r>
            <w:r>
              <w:rPr>
                <w:w w:val="105"/>
                <w:sz w:val="17"/>
              </w:rPr>
              <w:t>of</w:t>
            </w:r>
            <w:r>
              <w:rPr>
                <w:spacing w:val="-10"/>
                <w:w w:val="105"/>
                <w:sz w:val="17"/>
              </w:rPr>
              <w:t xml:space="preserve"> </w:t>
            </w:r>
            <w:r>
              <w:rPr>
                <w:w w:val="105"/>
                <w:sz w:val="17"/>
              </w:rPr>
              <w:t>the</w:t>
            </w:r>
            <w:r>
              <w:rPr>
                <w:spacing w:val="-7"/>
                <w:w w:val="105"/>
                <w:sz w:val="17"/>
              </w:rPr>
              <w:t xml:space="preserve"> </w:t>
            </w:r>
            <w:r>
              <w:rPr>
                <w:w w:val="105"/>
                <w:sz w:val="17"/>
              </w:rPr>
              <w:t xml:space="preserve">study to </w:t>
            </w:r>
            <w:r>
              <w:rPr>
                <w:spacing w:val="-3"/>
                <w:w w:val="105"/>
                <w:sz w:val="17"/>
              </w:rPr>
              <w:t xml:space="preserve">facilitate </w:t>
            </w:r>
            <w:r>
              <w:rPr>
                <w:w w:val="105"/>
                <w:sz w:val="17"/>
              </w:rPr>
              <w:t xml:space="preserve">its </w:t>
            </w:r>
            <w:r>
              <w:rPr>
                <w:spacing w:val="-3"/>
                <w:w w:val="105"/>
                <w:sz w:val="17"/>
              </w:rPr>
              <w:t xml:space="preserve">completion. </w:t>
            </w:r>
            <w:r>
              <w:rPr>
                <w:w w:val="105"/>
                <w:sz w:val="17"/>
              </w:rPr>
              <w:t xml:space="preserve">These </w:t>
            </w:r>
            <w:r>
              <w:rPr>
                <w:spacing w:val="-3"/>
                <w:w w:val="105"/>
                <w:sz w:val="17"/>
              </w:rPr>
              <w:t xml:space="preserve">costs </w:t>
            </w:r>
            <w:r>
              <w:rPr>
                <w:spacing w:val="-4"/>
                <w:w w:val="105"/>
                <w:sz w:val="17"/>
              </w:rPr>
              <w:t xml:space="preserve">may </w:t>
            </w:r>
            <w:r>
              <w:rPr>
                <w:spacing w:val="-3"/>
                <w:w w:val="105"/>
                <w:sz w:val="17"/>
              </w:rPr>
              <w:t xml:space="preserve">include, but </w:t>
            </w:r>
            <w:r>
              <w:rPr>
                <w:spacing w:val="-4"/>
                <w:w w:val="105"/>
                <w:sz w:val="17"/>
              </w:rPr>
              <w:t xml:space="preserve">are </w:t>
            </w:r>
            <w:r>
              <w:rPr>
                <w:spacing w:val="-3"/>
                <w:w w:val="105"/>
                <w:sz w:val="17"/>
              </w:rPr>
              <w:t xml:space="preserve">not </w:t>
            </w:r>
            <w:r>
              <w:rPr>
                <w:w w:val="105"/>
                <w:sz w:val="17"/>
              </w:rPr>
              <w:t xml:space="preserve">limited to, site selection, site </w:t>
            </w:r>
            <w:r>
              <w:rPr>
                <w:spacing w:val="-3"/>
                <w:w w:val="105"/>
                <w:sz w:val="17"/>
              </w:rPr>
              <w:t xml:space="preserve">verification, </w:t>
            </w:r>
            <w:r>
              <w:rPr>
                <w:w w:val="105"/>
                <w:sz w:val="17"/>
              </w:rPr>
              <w:t xml:space="preserve">THP </w:t>
            </w:r>
            <w:r>
              <w:rPr>
                <w:spacing w:val="-3"/>
                <w:w w:val="105"/>
                <w:sz w:val="17"/>
              </w:rPr>
              <w:t xml:space="preserve">amendment, </w:t>
            </w:r>
            <w:r>
              <w:rPr>
                <w:w w:val="105"/>
                <w:sz w:val="17"/>
              </w:rPr>
              <w:t xml:space="preserve">field </w:t>
            </w:r>
            <w:r>
              <w:rPr>
                <w:spacing w:val="-3"/>
                <w:w w:val="105"/>
                <w:sz w:val="17"/>
              </w:rPr>
              <w:t>crew</w:t>
            </w:r>
            <w:r>
              <w:rPr>
                <w:spacing w:val="-11"/>
                <w:w w:val="105"/>
                <w:sz w:val="17"/>
              </w:rPr>
              <w:t xml:space="preserve"> </w:t>
            </w:r>
            <w:r>
              <w:rPr>
                <w:spacing w:val="-3"/>
                <w:w w:val="105"/>
                <w:sz w:val="17"/>
              </w:rPr>
              <w:t>assistance,</w:t>
            </w:r>
            <w:r>
              <w:rPr>
                <w:spacing w:val="-7"/>
                <w:w w:val="105"/>
                <w:sz w:val="17"/>
              </w:rPr>
              <w:t xml:space="preserve"> </w:t>
            </w:r>
            <w:r>
              <w:rPr>
                <w:spacing w:val="-3"/>
                <w:w w:val="105"/>
                <w:sz w:val="17"/>
              </w:rPr>
              <w:t>and</w:t>
            </w:r>
            <w:r>
              <w:rPr>
                <w:spacing w:val="-9"/>
                <w:w w:val="105"/>
                <w:sz w:val="17"/>
              </w:rPr>
              <w:t xml:space="preserve"> </w:t>
            </w:r>
            <w:r>
              <w:rPr>
                <w:spacing w:val="-3"/>
                <w:w w:val="105"/>
                <w:sz w:val="17"/>
              </w:rPr>
              <w:t>an</w:t>
            </w:r>
            <w:r>
              <w:rPr>
                <w:spacing w:val="-8"/>
                <w:w w:val="105"/>
                <w:sz w:val="17"/>
              </w:rPr>
              <w:t xml:space="preserve"> </w:t>
            </w:r>
            <w:r>
              <w:rPr>
                <w:spacing w:val="-4"/>
                <w:w w:val="105"/>
                <w:sz w:val="17"/>
              </w:rPr>
              <w:t xml:space="preserve">approximate </w:t>
            </w:r>
            <w:r>
              <w:rPr>
                <w:w w:val="105"/>
                <w:sz w:val="17"/>
              </w:rPr>
              <w:t>$30K</w:t>
            </w:r>
            <w:r>
              <w:rPr>
                <w:spacing w:val="-11"/>
                <w:w w:val="105"/>
                <w:sz w:val="17"/>
              </w:rPr>
              <w:t xml:space="preserve"> </w:t>
            </w:r>
            <w:r>
              <w:rPr>
                <w:spacing w:val="-3"/>
                <w:w w:val="105"/>
                <w:sz w:val="17"/>
              </w:rPr>
              <w:t>cash</w:t>
            </w:r>
            <w:r>
              <w:rPr>
                <w:spacing w:val="-9"/>
                <w:w w:val="105"/>
                <w:sz w:val="17"/>
              </w:rPr>
              <w:t xml:space="preserve"> </w:t>
            </w:r>
            <w:r>
              <w:rPr>
                <w:spacing w:val="-3"/>
                <w:w w:val="105"/>
                <w:sz w:val="17"/>
              </w:rPr>
              <w:t>contribution</w:t>
            </w:r>
            <w:r>
              <w:rPr>
                <w:spacing w:val="-8"/>
                <w:w w:val="105"/>
                <w:sz w:val="17"/>
              </w:rPr>
              <w:t xml:space="preserve"> </w:t>
            </w:r>
            <w:r>
              <w:rPr>
                <w:spacing w:val="-3"/>
                <w:w w:val="105"/>
                <w:sz w:val="17"/>
              </w:rPr>
              <w:t>for</w:t>
            </w:r>
            <w:r>
              <w:rPr>
                <w:spacing w:val="-10"/>
                <w:w w:val="105"/>
                <w:sz w:val="17"/>
              </w:rPr>
              <w:t xml:space="preserve"> </w:t>
            </w:r>
            <w:r>
              <w:rPr>
                <w:spacing w:val="-3"/>
                <w:w w:val="105"/>
                <w:sz w:val="17"/>
              </w:rPr>
              <w:t>equipment</w:t>
            </w:r>
            <w:r>
              <w:rPr>
                <w:spacing w:val="-5"/>
                <w:w w:val="105"/>
                <w:sz w:val="17"/>
              </w:rPr>
              <w:t xml:space="preserve"> </w:t>
            </w:r>
            <w:r>
              <w:rPr>
                <w:spacing w:val="-3"/>
                <w:w w:val="105"/>
                <w:sz w:val="17"/>
              </w:rPr>
              <w:t>and</w:t>
            </w:r>
            <w:r>
              <w:rPr>
                <w:spacing w:val="-8"/>
                <w:w w:val="105"/>
                <w:sz w:val="17"/>
              </w:rPr>
              <w:t xml:space="preserve"> </w:t>
            </w:r>
            <w:r>
              <w:rPr>
                <w:w w:val="105"/>
                <w:sz w:val="17"/>
              </w:rPr>
              <w:t>supplies.</w:t>
            </w:r>
          </w:p>
        </w:tc>
      </w:tr>
    </w:tbl>
    <w:p w:rsidR="0037596D" w:rsidRDefault="0037596D">
      <w:pPr>
        <w:pStyle w:val="BodyText"/>
        <w:spacing w:before="10"/>
        <w:rPr>
          <w:sz w:val="23"/>
        </w:rPr>
      </w:pPr>
    </w:p>
    <w:p w:rsidR="0037596D" w:rsidRDefault="00904D3A">
      <w:pPr>
        <w:pStyle w:val="Heading1"/>
        <w:numPr>
          <w:ilvl w:val="0"/>
          <w:numId w:val="6"/>
        </w:numPr>
        <w:tabs>
          <w:tab w:val="left" w:pos="480"/>
        </w:tabs>
        <w:spacing w:before="1"/>
        <w:ind w:right="581"/>
      </w:pPr>
      <w:r>
        <w:t>Principal Investigator(s) and Collaborator(s) (Include a contact person with email address, phone number, and mailing</w:t>
      </w:r>
      <w:r>
        <w:rPr>
          <w:spacing w:val="-2"/>
        </w:rPr>
        <w:t xml:space="preserve"> </w:t>
      </w:r>
      <w:r>
        <w:t>address)</w:t>
      </w:r>
    </w:p>
    <w:p w:rsidR="0037596D" w:rsidRDefault="0037596D">
      <w:pPr>
        <w:pStyle w:val="BodyText"/>
        <w:rPr>
          <w:b/>
          <w:sz w:val="26"/>
        </w:rPr>
      </w:pPr>
    </w:p>
    <w:p w:rsidR="0037596D" w:rsidRDefault="00904D3A">
      <w:pPr>
        <w:pStyle w:val="BodyText"/>
        <w:tabs>
          <w:tab w:val="left" w:pos="840"/>
        </w:tabs>
        <w:spacing w:before="158" w:line="259" w:lineRule="auto"/>
        <w:ind w:left="839" w:right="501" w:hanging="720"/>
      </w:pPr>
      <w:r>
        <w:t>PI:</w:t>
      </w:r>
      <w:r>
        <w:tab/>
      </w:r>
      <w:r>
        <w:tab/>
        <w:t>Kevin Bladon, 280 Peavy Hall, Department of Forest</w:t>
      </w:r>
      <w:r>
        <w:rPr>
          <w:spacing w:val="-31"/>
        </w:rPr>
        <w:t xml:space="preserve"> </w:t>
      </w:r>
      <w:r>
        <w:t>Engineering,</w:t>
      </w:r>
      <w:r>
        <w:rPr>
          <w:spacing w:val="-3"/>
        </w:rPr>
        <w:t xml:space="preserve"> </w:t>
      </w:r>
      <w:r>
        <w:t>Resources,</w:t>
      </w:r>
      <w:r>
        <w:rPr>
          <w:spacing w:val="-1"/>
          <w:w w:val="99"/>
        </w:rPr>
        <w:t xml:space="preserve"> </w:t>
      </w:r>
      <w:r>
        <w:t xml:space="preserve">and Management, Oregon State University, Corvallis, OR, 97331, email: </w:t>
      </w:r>
      <w:hyperlink r:id="rId13">
        <w:r>
          <w:rPr>
            <w:color w:val="0000FF"/>
            <w:u w:val="single" w:color="0000FF"/>
          </w:rPr>
          <w:t>bladonk@oregonstate.edu</w:t>
        </w:r>
        <w:r>
          <w:t>,</w:t>
        </w:r>
      </w:hyperlink>
      <w:r>
        <w:t xml:space="preserve"> Tel: 541-737-5482, Cell:</w:t>
      </w:r>
      <w:r>
        <w:rPr>
          <w:spacing w:val="-25"/>
        </w:rPr>
        <w:t xml:space="preserve"> </w:t>
      </w:r>
      <w:r>
        <w:t>541-243-2588</w:t>
      </w:r>
    </w:p>
    <w:p w:rsidR="0037596D" w:rsidRDefault="00904D3A">
      <w:pPr>
        <w:pStyle w:val="BodyText"/>
        <w:spacing w:before="159" w:line="259" w:lineRule="auto"/>
        <w:ind w:left="839" w:right="149" w:hanging="720"/>
      </w:pPr>
      <w:r>
        <w:t xml:space="preserve">Co-PI: Catalina Segura, 280 Peavy Hall, Department of Forest Engineering, Resources, and Management, Oregon State University, Corvallis, OR, 97331, email: </w:t>
      </w:r>
      <w:hyperlink r:id="rId14">
        <w:r>
          <w:rPr>
            <w:color w:val="0000FF"/>
            <w:u w:val="single" w:color="0000FF"/>
          </w:rPr>
          <w:t>segurac@oregonstate.edu</w:t>
        </w:r>
        <w:r>
          <w:t>,</w:t>
        </w:r>
      </w:hyperlink>
      <w:r>
        <w:t xml:space="preserve"> Tel: 541-737-6568</w:t>
      </w:r>
    </w:p>
    <w:p w:rsidR="0037596D" w:rsidRDefault="00904D3A">
      <w:pPr>
        <w:pStyle w:val="BodyText"/>
        <w:spacing w:before="160"/>
        <w:ind w:left="120"/>
      </w:pPr>
      <w:r>
        <w:t>Collaborators: Matt House, Drew Coe, Nicholas Simpson</w:t>
      </w:r>
    </w:p>
    <w:p w:rsidR="0037596D" w:rsidRDefault="0037596D">
      <w:pPr>
        <w:pStyle w:val="BodyText"/>
        <w:rPr>
          <w:sz w:val="26"/>
        </w:rPr>
      </w:pPr>
    </w:p>
    <w:p w:rsidR="0037596D" w:rsidRDefault="00904D3A">
      <w:pPr>
        <w:pStyle w:val="Heading2"/>
        <w:spacing w:before="157"/>
        <w:ind w:firstLine="0"/>
      </w:pPr>
      <w:r>
        <w:t>Attach figures, tables, or photos as needed.</w:t>
      </w:r>
    </w:p>
    <w:p w:rsidR="0037596D" w:rsidRDefault="0037596D">
      <w:pPr>
        <w:sectPr w:rsidR="0037596D">
          <w:pgSz w:w="12240" w:h="15840"/>
          <w:pgMar w:top="1360" w:right="1320" w:bottom="1380" w:left="1320" w:header="0" w:footer="1193" w:gutter="0"/>
          <w:cols w:space="720"/>
        </w:sectPr>
      </w:pPr>
    </w:p>
    <w:p w:rsidR="0037596D" w:rsidRDefault="00904D3A">
      <w:pPr>
        <w:pStyle w:val="BodyText"/>
        <w:spacing w:before="78"/>
        <w:ind w:left="100" w:right="140"/>
        <w:jc w:val="both"/>
      </w:pPr>
      <w:r>
        <w:rPr>
          <w:b/>
        </w:rPr>
        <w:lastRenderedPageBreak/>
        <w:t>Table 1</w:t>
      </w:r>
      <w:r>
        <w:t>. Core zone and inner zone width requirements for WLPZ associated with Class II-S and Class II-L streams within and outside of the coastal anadromy zone (CAL FIRE, 2017).</w:t>
      </w:r>
    </w:p>
    <w:p w:rsidR="0037596D" w:rsidRDefault="00904D3A">
      <w:pPr>
        <w:pStyle w:val="BodyText"/>
        <w:ind w:left="100"/>
        <w:rPr>
          <w:sz w:val="20"/>
        </w:rPr>
      </w:pPr>
      <w:r>
        <w:rPr>
          <w:noProof/>
          <w:sz w:val="20"/>
        </w:rPr>
        <w:drawing>
          <wp:inline distT="0" distB="0" distL="0" distR="0">
            <wp:extent cx="5941853" cy="2592324"/>
            <wp:effectExtent l="0" t="0" r="0" b="0"/>
            <wp:docPr id="1" name="image1.png" descr="Tabl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5" cstate="print"/>
                    <a:stretch>
                      <a:fillRect/>
                    </a:stretch>
                  </pic:blipFill>
                  <pic:spPr>
                    <a:xfrm>
                      <a:off x="0" y="0"/>
                      <a:ext cx="5941853" cy="2592324"/>
                    </a:xfrm>
                    <a:prstGeom prst="rect">
                      <a:avLst/>
                    </a:prstGeom>
                  </pic:spPr>
                </pic:pic>
              </a:graphicData>
            </a:graphic>
          </wp:inline>
        </w:drawing>
      </w:r>
    </w:p>
    <w:p w:rsidR="0037596D" w:rsidRDefault="0037596D">
      <w:pPr>
        <w:rPr>
          <w:sz w:val="20"/>
        </w:rPr>
        <w:sectPr w:rsidR="0037596D">
          <w:pgSz w:w="12240" w:h="15840"/>
          <w:pgMar w:top="1360" w:right="1320" w:bottom="1380" w:left="1340" w:header="0" w:footer="1193" w:gutter="0"/>
          <w:cols w:space="720"/>
        </w:sectPr>
      </w:pPr>
    </w:p>
    <w:p w:rsidR="0037596D" w:rsidRDefault="00904D3A">
      <w:pPr>
        <w:pStyle w:val="BodyText"/>
        <w:spacing w:before="78"/>
        <w:ind w:left="120" w:right="842"/>
      </w:pPr>
      <w:r>
        <w:rPr>
          <w:b/>
        </w:rPr>
        <w:lastRenderedPageBreak/>
        <w:t>Table 2</w:t>
      </w:r>
      <w:r>
        <w:t>. Anticipated project timeline for main activities necessary to complete the project.</w:t>
      </w:r>
    </w:p>
    <w:p w:rsidR="0037596D" w:rsidRDefault="0037596D">
      <w:pPr>
        <w:pStyle w:val="BodyText"/>
        <w:spacing w:before="1"/>
      </w:pPr>
    </w:p>
    <w:tbl>
      <w:tblPr>
        <w:tblW w:w="0" w:type="auto"/>
        <w:tblInd w:w="11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2251"/>
        <w:gridCol w:w="444"/>
        <w:gridCol w:w="444"/>
        <w:gridCol w:w="444"/>
        <w:gridCol w:w="444"/>
        <w:gridCol w:w="444"/>
        <w:gridCol w:w="443"/>
        <w:gridCol w:w="444"/>
        <w:gridCol w:w="444"/>
        <w:gridCol w:w="443"/>
        <w:gridCol w:w="444"/>
        <w:gridCol w:w="444"/>
        <w:gridCol w:w="444"/>
        <w:gridCol w:w="444"/>
        <w:gridCol w:w="444"/>
        <w:gridCol w:w="444"/>
        <w:gridCol w:w="445"/>
      </w:tblGrid>
      <w:tr w:rsidR="0037596D" w:rsidTr="0063662C">
        <w:trPr>
          <w:trHeight w:hRule="exact" w:val="243"/>
          <w:tblHeader/>
        </w:trPr>
        <w:tc>
          <w:tcPr>
            <w:tcW w:w="2251" w:type="dxa"/>
            <w:vMerge w:val="restart"/>
            <w:tcBorders>
              <w:right w:val="single" w:sz="3" w:space="0" w:color="000000"/>
            </w:tcBorders>
          </w:tcPr>
          <w:p w:rsidR="0037596D" w:rsidRDefault="0037596D">
            <w:pPr>
              <w:pStyle w:val="TableParagraph"/>
              <w:spacing w:before="1"/>
              <w:jc w:val="left"/>
              <w:rPr>
                <w:rFonts w:ascii="Arial"/>
              </w:rPr>
            </w:pPr>
          </w:p>
          <w:p w:rsidR="0037596D" w:rsidRDefault="00904D3A">
            <w:pPr>
              <w:pStyle w:val="TableParagraph"/>
              <w:spacing w:before="1"/>
              <w:ind w:left="781" w:right="779"/>
              <w:jc w:val="center"/>
              <w:rPr>
                <w:b/>
                <w:sz w:val="19"/>
              </w:rPr>
            </w:pPr>
            <w:r>
              <w:rPr>
                <w:b/>
                <w:color w:val="0D0D0D"/>
                <w:sz w:val="19"/>
              </w:rPr>
              <w:t>Activity</w:t>
            </w:r>
          </w:p>
        </w:tc>
        <w:tc>
          <w:tcPr>
            <w:tcW w:w="1776" w:type="dxa"/>
            <w:gridSpan w:val="4"/>
            <w:tcBorders>
              <w:left w:val="single" w:sz="3" w:space="0" w:color="000000"/>
              <w:bottom w:val="single" w:sz="2" w:space="0" w:color="000000"/>
              <w:right w:val="single" w:sz="2" w:space="0" w:color="000000"/>
            </w:tcBorders>
          </w:tcPr>
          <w:p w:rsidR="0037596D" w:rsidRDefault="00904D3A">
            <w:pPr>
              <w:pStyle w:val="TableParagraph"/>
              <w:spacing w:before="12"/>
              <w:ind w:left="61"/>
              <w:jc w:val="left"/>
              <w:rPr>
                <w:b/>
                <w:sz w:val="19"/>
              </w:rPr>
            </w:pPr>
            <w:r>
              <w:rPr>
                <w:b/>
                <w:color w:val="0D0D0D"/>
                <w:sz w:val="19"/>
              </w:rPr>
              <w:t>Pre-harvest (Before)</w:t>
            </w:r>
          </w:p>
        </w:tc>
        <w:tc>
          <w:tcPr>
            <w:tcW w:w="5327" w:type="dxa"/>
            <w:gridSpan w:val="12"/>
            <w:tcBorders>
              <w:left w:val="single" w:sz="2" w:space="0" w:color="000000"/>
              <w:bottom w:val="single" w:sz="2" w:space="0" w:color="000000"/>
              <w:right w:val="single" w:sz="3" w:space="0" w:color="000000"/>
            </w:tcBorders>
          </w:tcPr>
          <w:p w:rsidR="0037596D" w:rsidRDefault="00904D3A">
            <w:pPr>
              <w:pStyle w:val="TableParagraph"/>
              <w:spacing w:before="12"/>
              <w:ind w:left="1833" w:right="1827"/>
              <w:jc w:val="center"/>
              <w:rPr>
                <w:b/>
                <w:sz w:val="19"/>
              </w:rPr>
            </w:pPr>
            <w:r>
              <w:rPr>
                <w:b/>
                <w:color w:val="0D0D0D"/>
                <w:sz w:val="19"/>
              </w:rPr>
              <w:t>Post-harvest (After)</w:t>
            </w:r>
          </w:p>
        </w:tc>
      </w:tr>
      <w:tr w:rsidR="0037596D">
        <w:trPr>
          <w:trHeight w:hRule="exact" w:val="242"/>
        </w:trPr>
        <w:tc>
          <w:tcPr>
            <w:tcW w:w="2251" w:type="dxa"/>
            <w:vMerge/>
            <w:tcBorders>
              <w:right w:val="single" w:sz="3" w:space="0" w:color="000000"/>
            </w:tcBorders>
          </w:tcPr>
          <w:p w:rsidR="0037596D" w:rsidRDefault="0037596D"/>
        </w:tc>
        <w:tc>
          <w:tcPr>
            <w:tcW w:w="1776" w:type="dxa"/>
            <w:gridSpan w:val="4"/>
            <w:tcBorders>
              <w:top w:val="single" w:sz="2" w:space="0" w:color="000000"/>
              <w:left w:val="single" w:sz="3" w:space="0" w:color="000000"/>
              <w:bottom w:val="single" w:sz="2" w:space="0" w:color="000000"/>
              <w:right w:val="single" w:sz="2" w:space="0" w:color="000000"/>
            </w:tcBorders>
          </w:tcPr>
          <w:p w:rsidR="0037596D" w:rsidRDefault="00904D3A">
            <w:pPr>
              <w:pStyle w:val="TableParagraph"/>
              <w:spacing w:before="11"/>
              <w:ind w:left="594" w:right="591"/>
              <w:jc w:val="center"/>
              <w:rPr>
                <w:b/>
                <w:sz w:val="19"/>
              </w:rPr>
            </w:pPr>
            <w:r>
              <w:rPr>
                <w:b/>
                <w:color w:val="0D0D0D"/>
                <w:sz w:val="19"/>
              </w:rPr>
              <w:t>Year 1</w:t>
            </w:r>
          </w:p>
        </w:tc>
        <w:tc>
          <w:tcPr>
            <w:tcW w:w="1775" w:type="dxa"/>
            <w:gridSpan w:val="4"/>
            <w:tcBorders>
              <w:top w:val="single" w:sz="2" w:space="0" w:color="000000"/>
              <w:left w:val="single" w:sz="2" w:space="0" w:color="000000"/>
              <w:bottom w:val="single" w:sz="2" w:space="0" w:color="000000"/>
            </w:tcBorders>
          </w:tcPr>
          <w:p w:rsidR="0037596D" w:rsidRDefault="00904D3A">
            <w:pPr>
              <w:pStyle w:val="TableParagraph"/>
              <w:spacing w:before="11"/>
              <w:ind w:left="594" w:right="592"/>
              <w:jc w:val="center"/>
              <w:rPr>
                <w:b/>
                <w:sz w:val="19"/>
              </w:rPr>
            </w:pPr>
            <w:r>
              <w:rPr>
                <w:b/>
                <w:color w:val="0D0D0D"/>
                <w:sz w:val="19"/>
              </w:rPr>
              <w:t>Year 2</w:t>
            </w:r>
          </w:p>
        </w:tc>
        <w:tc>
          <w:tcPr>
            <w:tcW w:w="1775" w:type="dxa"/>
            <w:gridSpan w:val="4"/>
            <w:tcBorders>
              <w:top w:val="single" w:sz="2" w:space="0" w:color="000000"/>
              <w:bottom w:val="single" w:sz="2" w:space="0" w:color="000000"/>
              <w:right w:val="single" w:sz="3" w:space="0" w:color="000000"/>
            </w:tcBorders>
          </w:tcPr>
          <w:p w:rsidR="0037596D" w:rsidRDefault="00904D3A">
            <w:pPr>
              <w:pStyle w:val="TableParagraph"/>
              <w:spacing w:before="11"/>
              <w:ind w:left="594" w:right="590"/>
              <w:jc w:val="center"/>
              <w:rPr>
                <w:b/>
                <w:sz w:val="19"/>
              </w:rPr>
            </w:pPr>
            <w:r>
              <w:rPr>
                <w:b/>
                <w:color w:val="0D0D0D"/>
                <w:sz w:val="19"/>
              </w:rPr>
              <w:t>Year 3</w:t>
            </w:r>
          </w:p>
        </w:tc>
        <w:tc>
          <w:tcPr>
            <w:tcW w:w="1776" w:type="dxa"/>
            <w:gridSpan w:val="4"/>
            <w:tcBorders>
              <w:top w:val="single" w:sz="2" w:space="0" w:color="000000"/>
              <w:left w:val="single" w:sz="3" w:space="0" w:color="000000"/>
              <w:bottom w:val="single" w:sz="2" w:space="0" w:color="000000"/>
              <w:right w:val="single" w:sz="3" w:space="0" w:color="000000"/>
            </w:tcBorders>
          </w:tcPr>
          <w:p w:rsidR="0037596D" w:rsidRDefault="00904D3A">
            <w:pPr>
              <w:pStyle w:val="TableParagraph"/>
              <w:spacing w:before="11"/>
              <w:ind w:left="594" w:right="591"/>
              <w:jc w:val="center"/>
              <w:rPr>
                <w:b/>
                <w:sz w:val="19"/>
              </w:rPr>
            </w:pPr>
            <w:r>
              <w:rPr>
                <w:b/>
                <w:color w:val="0D0D0D"/>
                <w:sz w:val="19"/>
              </w:rPr>
              <w:t>Year 4</w:t>
            </w:r>
          </w:p>
        </w:tc>
      </w:tr>
      <w:tr w:rsidR="0037596D">
        <w:trPr>
          <w:trHeight w:hRule="exact" w:val="242"/>
        </w:trPr>
        <w:tc>
          <w:tcPr>
            <w:tcW w:w="2251" w:type="dxa"/>
            <w:vMerge/>
            <w:tcBorders>
              <w:bottom w:val="single" w:sz="3" w:space="0" w:color="000000"/>
              <w:right w:val="single" w:sz="3" w:space="0" w:color="000000"/>
            </w:tcBorders>
          </w:tcPr>
          <w:p w:rsidR="0037596D" w:rsidRDefault="0037596D"/>
        </w:tc>
        <w:tc>
          <w:tcPr>
            <w:tcW w:w="444" w:type="dxa"/>
            <w:tcBorders>
              <w:top w:val="single" w:sz="2" w:space="0" w:color="000000"/>
              <w:left w:val="single" w:sz="3" w:space="0" w:color="000000"/>
              <w:bottom w:val="single" w:sz="3" w:space="0" w:color="000000"/>
              <w:right w:val="single" w:sz="2" w:space="0" w:color="000000"/>
            </w:tcBorders>
          </w:tcPr>
          <w:p w:rsidR="0037596D" w:rsidRDefault="00904D3A">
            <w:pPr>
              <w:pStyle w:val="TableParagraph"/>
              <w:spacing w:before="12"/>
              <w:ind w:left="15"/>
              <w:jc w:val="left"/>
              <w:rPr>
                <w:b/>
                <w:sz w:val="19"/>
              </w:rPr>
            </w:pPr>
            <w:r>
              <w:rPr>
                <w:b/>
                <w:color w:val="0D0D0D"/>
                <w:sz w:val="19"/>
              </w:rPr>
              <w:t>Su19</w:t>
            </w:r>
          </w:p>
        </w:tc>
        <w:tc>
          <w:tcPr>
            <w:tcW w:w="444" w:type="dxa"/>
            <w:tcBorders>
              <w:top w:val="single" w:sz="2" w:space="0" w:color="000000"/>
              <w:left w:val="single" w:sz="2" w:space="0" w:color="000000"/>
              <w:bottom w:val="single" w:sz="3" w:space="0" w:color="000000"/>
              <w:right w:val="single" w:sz="2" w:space="0" w:color="000000"/>
            </w:tcBorders>
          </w:tcPr>
          <w:p w:rsidR="0037596D" w:rsidRDefault="00904D3A">
            <w:pPr>
              <w:pStyle w:val="TableParagraph"/>
              <w:spacing w:before="12"/>
              <w:ind w:left="15"/>
              <w:jc w:val="left"/>
              <w:rPr>
                <w:b/>
                <w:sz w:val="19"/>
              </w:rPr>
            </w:pPr>
            <w:r>
              <w:rPr>
                <w:b/>
                <w:color w:val="0D0D0D"/>
                <w:sz w:val="19"/>
              </w:rPr>
              <w:t>Fa19</w:t>
            </w:r>
          </w:p>
        </w:tc>
        <w:tc>
          <w:tcPr>
            <w:tcW w:w="444" w:type="dxa"/>
            <w:tcBorders>
              <w:top w:val="single" w:sz="2" w:space="0" w:color="000000"/>
              <w:left w:val="single" w:sz="2" w:space="0" w:color="000000"/>
              <w:bottom w:val="single" w:sz="3" w:space="0" w:color="000000"/>
              <w:right w:val="single" w:sz="2" w:space="0" w:color="000000"/>
            </w:tcBorders>
          </w:tcPr>
          <w:p w:rsidR="0037596D" w:rsidRDefault="00904D3A">
            <w:pPr>
              <w:pStyle w:val="TableParagraph"/>
              <w:spacing w:before="12"/>
              <w:jc w:val="left"/>
              <w:rPr>
                <w:b/>
                <w:sz w:val="19"/>
              </w:rPr>
            </w:pPr>
            <w:r>
              <w:rPr>
                <w:b/>
                <w:color w:val="0D0D0D"/>
                <w:sz w:val="19"/>
              </w:rPr>
              <w:t>Wi20</w:t>
            </w:r>
          </w:p>
        </w:tc>
        <w:tc>
          <w:tcPr>
            <w:tcW w:w="444" w:type="dxa"/>
            <w:tcBorders>
              <w:top w:val="single" w:sz="2" w:space="0" w:color="000000"/>
              <w:left w:val="single" w:sz="2" w:space="0" w:color="000000"/>
              <w:bottom w:val="single" w:sz="3" w:space="0" w:color="000000"/>
              <w:right w:val="single" w:sz="2" w:space="0" w:color="000000"/>
            </w:tcBorders>
          </w:tcPr>
          <w:p w:rsidR="0037596D" w:rsidRDefault="00904D3A">
            <w:pPr>
              <w:pStyle w:val="TableParagraph"/>
              <w:spacing w:before="12"/>
              <w:ind w:left="15"/>
              <w:jc w:val="left"/>
              <w:rPr>
                <w:b/>
                <w:sz w:val="19"/>
              </w:rPr>
            </w:pPr>
            <w:r>
              <w:rPr>
                <w:b/>
                <w:color w:val="0D0D0D"/>
                <w:sz w:val="19"/>
              </w:rPr>
              <w:t>Sp20</w:t>
            </w:r>
          </w:p>
        </w:tc>
        <w:tc>
          <w:tcPr>
            <w:tcW w:w="444" w:type="dxa"/>
            <w:tcBorders>
              <w:top w:val="single" w:sz="2" w:space="0" w:color="000000"/>
              <w:left w:val="single" w:sz="2" w:space="0" w:color="000000"/>
              <w:bottom w:val="single" w:sz="3" w:space="0" w:color="000000"/>
              <w:right w:val="single" w:sz="2" w:space="0" w:color="000000"/>
            </w:tcBorders>
          </w:tcPr>
          <w:p w:rsidR="0037596D" w:rsidRDefault="00904D3A">
            <w:pPr>
              <w:pStyle w:val="TableParagraph"/>
              <w:spacing w:before="12"/>
              <w:ind w:left="14"/>
              <w:jc w:val="left"/>
              <w:rPr>
                <w:b/>
                <w:sz w:val="19"/>
              </w:rPr>
            </w:pPr>
            <w:r>
              <w:rPr>
                <w:b/>
                <w:color w:val="0D0D0D"/>
                <w:sz w:val="19"/>
              </w:rPr>
              <w:t>Su20</w:t>
            </w:r>
          </w:p>
        </w:tc>
        <w:tc>
          <w:tcPr>
            <w:tcW w:w="443" w:type="dxa"/>
            <w:tcBorders>
              <w:top w:val="single" w:sz="2" w:space="0" w:color="000000"/>
              <w:left w:val="single" w:sz="2" w:space="0" w:color="000000"/>
              <w:bottom w:val="single" w:sz="3" w:space="0" w:color="000000"/>
            </w:tcBorders>
          </w:tcPr>
          <w:p w:rsidR="0037596D" w:rsidRDefault="00904D3A">
            <w:pPr>
              <w:pStyle w:val="TableParagraph"/>
              <w:spacing w:before="12"/>
              <w:ind w:left="14"/>
              <w:jc w:val="left"/>
              <w:rPr>
                <w:b/>
                <w:sz w:val="19"/>
              </w:rPr>
            </w:pPr>
            <w:r>
              <w:rPr>
                <w:b/>
                <w:color w:val="0D0D0D"/>
                <w:sz w:val="19"/>
              </w:rPr>
              <w:t>Fa20</w:t>
            </w:r>
          </w:p>
        </w:tc>
        <w:tc>
          <w:tcPr>
            <w:tcW w:w="444" w:type="dxa"/>
            <w:tcBorders>
              <w:top w:val="single" w:sz="2" w:space="0" w:color="000000"/>
              <w:bottom w:val="single" w:sz="3" w:space="0" w:color="000000"/>
            </w:tcBorders>
          </w:tcPr>
          <w:p w:rsidR="0037596D" w:rsidRDefault="00904D3A">
            <w:pPr>
              <w:pStyle w:val="TableParagraph"/>
              <w:spacing w:before="12"/>
              <w:jc w:val="left"/>
              <w:rPr>
                <w:b/>
                <w:sz w:val="19"/>
              </w:rPr>
            </w:pPr>
            <w:r>
              <w:rPr>
                <w:b/>
                <w:color w:val="0D0D0D"/>
                <w:sz w:val="19"/>
              </w:rPr>
              <w:t>Wi21</w:t>
            </w:r>
          </w:p>
        </w:tc>
        <w:tc>
          <w:tcPr>
            <w:tcW w:w="444" w:type="dxa"/>
            <w:tcBorders>
              <w:top w:val="single" w:sz="2" w:space="0" w:color="000000"/>
              <w:bottom w:val="single" w:sz="3" w:space="0" w:color="000000"/>
            </w:tcBorders>
          </w:tcPr>
          <w:p w:rsidR="0037596D" w:rsidRDefault="00904D3A">
            <w:pPr>
              <w:pStyle w:val="TableParagraph"/>
              <w:spacing w:before="12"/>
              <w:ind w:left="16"/>
              <w:jc w:val="left"/>
              <w:rPr>
                <w:b/>
                <w:sz w:val="19"/>
              </w:rPr>
            </w:pPr>
            <w:r>
              <w:rPr>
                <w:b/>
                <w:color w:val="0D0D0D"/>
                <w:sz w:val="19"/>
              </w:rPr>
              <w:t>Sp21</w:t>
            </w:r>
          </w:p>
        </w:tc>
        <w:tc>
          <w:tcPr>
            <w:tcW w:w="443" w:type="dxa"/>
            <w:tcBorders>
              <w:top w:val="single" w:sz="2" w:space="0" w:color="000000"/>
              <w:bottom w:val="single" w:sz="3" w:space="0" w:color="000000"/>
              <w:right w:val="single" w:sz="3" w:space="0" w:color="000000"/>
            </w:tcBorders>
          </w:tcPr>
          <w:p w:rsidR="0037596D" w:rsidRDefault="00904D3A">
            <w:pPr>
              <w:pStyle w:val="TableParagraph"/>
              <w:spacing w:before="12"/>
              <w:ind w:left="16"/>
              <w:jc w:val="left"/>
              <w:rPr>
                <w:b/>
                <w:sz w:val="19"/>
              </w:rPr>
            </w:pPr>
            <w:r>
              <w:rPr>
                <w:b/>
                <w:color w:val="0D0D0D"/>
                <w:sz w:val="19"/>
              </w:rPr>
              <w:t>Su21</w:t>
            </w:r>
          </w:p>
        </w:tc>
        <w:tc>
          <w:tcPr>
            <w:tcW w:w="444" w:type="dxa"/>
            <w:tcBorders>
              <w:top w:val="single" w:sz="2" w:space="0" w:color="000000"/>
              <w:left w:val="single" w:sz="3" w:space="0" w:color="000000"/>
              <w:bottom w:val="single" w:sz="3" w:space="0" w:color="000000"/>
              <w:right w:val="single" w:sz="3" w:space="0" w:color="000000"/>
            </w:tcBorders>
          </w:tcPr>
          <w:p w:rsidR="0037596D" w:rsidRDefault="00904D3A">
            <w:pPr>
              <w:pStyle w:val="TableParagraph"/>
              <w:spacing w:before="12"/>
              <w:ind w:left="15"/>
              <w:jc w:val="left"/>
              <w:rPr>
                <w:b/>
                <w:sz w:val="19"/>
              </w:rPr>
            </w:pPr>
            <w:r>
              <w:rPr>
                <w:b/>
                <w:color w:val="0D0D0D"/>
                <w:sz w:val="19"/>
              </w:rPr>
              <w:t>Fa21</w:t>
            </w:r>
          </w:p>
        </w:tc>
        <w:tc>
          <w:tcPr>
            <w:tcW w:w="444" w:type="dxa"/>
            <w:tcBorders>
              <w:top w:val="single" w:sz="2" w:space="0" w:color="000000"/>
              <w:left w:val="single" w:sz="3" w:space="0" w:color="000000"/>
              <w:bottom w:val="single" w:sz="3" w:space="0" w:color="000000"/>
              <w:right w:val="single" w:sz="3" w:space="0" w:color="000000"/>
            </w:tcBorders>
          </w:tcPr>
          <w:p w:rsidR="0037596D" w:rsidRDefault="00904D3A">
            <w:pPr>
              <w:pStyle w:val="TableParagraph"/>
              <w:spacing w:before="12"/>
              <w:ind w:left="-1"/>
              <w:jc w:val="left"/>
              <w:rPr>
                <w:b/>
                <w:sz w:val="19"/>
              </w:rPr>
            </w:pPr>
            <w:r>
              <w:rPr>
                <w:b/>
                <w:color w:val="0D0D0D"/>
                <w:sz w:val="19"/>
              </w:rPr>
              <w:t>Wi22</w:t>
            </w:r>
          </w:p>
        </w:tc>
        <w:tc>
          <w:tcPr>
            <w:tcW w:w="444" w:type="dxa"/>
            <w:tcBorders>
              <w:top w:val="single" w:sz="2" w:space="0" w:color="000000"/>
              <w:left w:val="single" w:sz="3" w:space="0" w:color="000000"/>
              <w:bottom w:val="single" w:sz="3" w:space="0" w:color="000000"/>
              <w:right w:val="single" w:sz="3" w:space="0" w:color="000000"/>
            </w:tcBorders>
          </w:tcPr>
          <w:p w:rsidR="0037596D" w:rsidRDefault="00904D3A">
            <w:pPr>
              <w:pStyle w:val="TableParagraph"/>
              <w:spacing w:before="12"/>
              <w:ind w:left="15"/>
              <w:jc w:val="left"/>
              <w:rPr>
                <w:b/>
                <w:sz w:val="19"/>
              </w:rPr>
            </w:pPr>
            <w:r>
              <w:rPr>
                <w:b/>
                <w:color w:val="0D0D0D"/>
                <w:sz w:val="19"/>
              </w:rPr>
              <w:t>Sp22</w:t>
            </w:r>
          </w:p>
        </w:tc>
        <w:tc>
          <w:tcPr>
            <w:tcW w:w="444" w:type="dxa"/>
            <w:tcBorders>
              <w:top w:val="single" w:sz="2" w:space="0" w:color="000000"/>
              <w:left w:val="single" w:sz="3" w:space="0" w:color="000000"/>
              <w:bottom w:val="single" w:sz="3" w:space="0" w:color="000000"/>
              <w:right w:val="single" w:sz="3" w:space="0" w:color="000000"/>
            </w:tcBorders>
          </w:tcPr>
          <w:p w:rsidR="0037596D" w:rsidRDefault="00904D3A">
            <w:pPr>
              <w:pStyle w:val="TableParagraph"/>
              <w:spacing w:before="12"/>
              <w:ind w:left="15"/>
              <w:jc w:val="left"/>
              <w:rPr>
                <w:b/>
                <w:sz w:val="19"/>
              </w:rPr>
            </w:pPr>
            <w:r>
              <w:rPr>
                <w:b/>
                <w:color w:val="0D0D0D"/>
                <w:sz w:val="19"/>
              </w:rPr>
              <w:t>Su22</w:t>
            </w:r>
          </w:p>
        </w:tc>
        <w:tc>
          <w:tcPr>
            <w:tcW w:w="444" w:type="dxa"/>
            <w:tcBorders>
              <w:top w:val="single" w:sz="2" w:space="0" w:color="000000"/>
              <w:left w:val="single" w:sz="3" w:space="0" w:color="000000"/>
              <w:bottom w:val="single" w:sz="3" w:space="0" w:color="000000"/>
              <w:right w:val="single" w:sz="3" w:space="0" w:color="000000"/>
            </w:tcBorders>
          </w:tcPr>
          <w:p w:rsidR="0037596D" w:rsidRDefault="00904D3A">
            <w:pPr>
              <w:pStyle w:val="TableParagraph"/>
              <w:spacing w:before="12"/>
              <w:ind w:left="15"/>
              <w:jc w:val="left"/>
              <w:rPr>
                <w:b/>
                <w:sz w:val="19"/>
              </w:rPr>
            </w:pPr>
            <w:r>
              <w:rPr>
                <w:b/>
                <w:color w:val="0D0D0D"/>
                <w:sz w:val="19"/>
              </w:rPr>
              <w:t>Fa22</w:t>
            </w:r>
          </w:p>
        </w:tc>
        <w:tc>
          <w:tcPr>
            <w:tcW w:w="444" w:type="dxa"/>
            <w:tcBorders>
              <w:top w:val="single" w:sz="2" w:space="0" w:color="000000"/>
              <w:left w:val="single" w:sz="3" w:space="0" w:color="000000"/>
              <w:bottom w:val="single" w:sz="3" w:space="0" w:color="000000"/>
              <w:right w:val="single" w:sz="3" w:space="0" w:color="000000"/>
            </w:tcBorders>
          </w:tcPr>
          <w:p w:rsidR="0037596D" w:rsidRDefault="00904D3A">
            <w:pPr>
              <w:pStyle w:val="TableParagraph"/>
              <w:spacing w:before="12"/>
              <w:ind w:left="-1"/>
              <w:jc w:val="left"/>
              <w:rPr>
                <w:b/>
                <w:sz w:val="19"/>
              </w:rPr>
            </w:pPr>
            <w:r>
              <w:rPr>
                <w:b/>
                <w:color w:val="0D0D0D"/>
                <w:sz w:val="19"/>
              </w:rPr>
              <w:t>Wi23</w:t>
            </w:r>
          </w:p>
        </w:tc>
        <w:tc>
          <w:tcPr>
            <w:tcW w:w="444" w:type="dxa"/>
            <w:tcBorders>
              <w:top w:val="single" w:sz="2" w:space="0" w:color="000000"/>
              <w:left w:val="single" w:sz="3" w:space="0" w:color="000000"/>
              <w:bottom w:val="single" w:sz="3" w:space="0" w:color="000000"/>
              <w:right w:val="single" w:sz="3" w:space="0" w:color="000000"/>
            </w:tcBorders>
          </w:tcPr>
          <w:p w:rsidR="0037596D" w:rsidRDefault="00904D3A">
            <w:pPr>
              <w:pStyle w:val="TableParagraph"/>
              <w:spacing w:before="12"/>
              <w:ind w:left="15"/>
              <w:jc w:val="left"/>
              <w:rPr>
                <w:b/>
                <w:sz w:val="19"/>
              </w:rPr>
            </w:pPr>
            <w:r>
              <w:rPr>
                <w:b/>
                <w:color w:val="0D0D0D"/>
                <w:sz w:val="19"/>
              </w:rPr>
              <w:t>Sp23</w:t>
            </w:r>
          </w:p>
        </w:tc>
      </w:tr>
      <w:tr w:rsidR="0037596D">
        <w:trPr>
          <w:trHeight w:hRule="exact" w:val="242"/>
        </w:trPr>
        <w:tc>
          <w:tcPr>
            <w:tcW w:w="2251" w:type="dxa"/>
            <w:tcBorders>
              <w:top w:val="single" w:sz="3" w:space="0" w:color="000000"/>
              <w:bottom w:val="single" w:sz="3" w:space="0" w:color="000000"/>
              <w:right w:val="single" w:sz="3" w:space="0" w:color="000000"/>
            </w:tcBorders>
          </w:tcPr>
          <w:p w:rsidR="0037596D" w:rsidRDefault="00904D3A">
            <w:pPr>
              <w:pStyle w:val="TableParagraph"/>
              <w:spacing w:before="13"/>
              <w:ind w:left="26"/>
              <w:jc w:val="left"/>
              <w:rPr>
                <w:sz w:val="19"/>
              </w:rPr>
            </w:pPr>
            <w:r>
              <w:rPr>
                <w:sz w:val="19"/>
              </w:rPr>
              <w:t>Finalize site selection</w:t>
            </w:r>
          </w:p>
        </w:tc>
        <w:tc>
          <w:tcPr>
            <w:tcW w:w="444" w:type="dxa"/>
            <w:tcBorders>
              <w:top w:val="nil"/>
              <w:left w:val="nil"/>
              <w:bottom w:val="nil"/>
              <w:right w:val="nil"/>
            </w:tcBorders>
            <w:shd w:val="clear" w:color="auto" w:fill="000000"/>
          </w:tcPr>
          <w:p w:rsidR="0037596D" w:rsidRDefault="0037596D"/>
        </w:tc>
        <w:tc>
          <w:tcPr>
            <w:tcW w:w="444" w:type="dxa"/>
            <w:tcBorders>
              <w:top w:val="single" w:sz="3" w:space="0" w:color="000000"/>
              <w:left w:val="single" w:sz="2" w:space="0" w:color="000000"/>
              <w:bottom w:val="single" w:sz="3" w:space="0" w:color="000000"/>
              <w:right w:val="single" w:sz="2" w:space="0" w:color="000000"/>
            </w:tcBorders>
          </w:tcPr>
          <w:p w:rsidR="0037596D" w:rsidRDefault="0037596D"/>
        </w:tc>
        <w:tc>
          <w:tcPr>
            <w:tcW w:w="444" w:type="dxa"/>
            <w:tcBorders>
              <w:top w:val="single" w:sz="3" w:space="0" w:color="000000"/>
              <w:left w:val="single" w:sz="2" w:space="0" w:color="000000"/>
              <w:bottom w:val="single" w:sz="3" w:space="0" w:color="000000"/>
              <w:right w:val="single" w:sz="2" w:space="0" w:color="000000"/>
            </w:tcBorders>
          </w:tcPr>
          <w:p w:rsidR="0037596D" w:rsidRDefault="0037596D"/>
        </w:tc>
        <w:tc>
          <w:tcPr>
            <w:tcW w:w="444" w:type="dxa"/>
            <w:tcBorders>
              <w:top w:val="single" w:sz="3" w:space="0" w:color="000000"/>
              <w:left w:val="single" w:sz="2" w:space="0" w:color="000000"/>
              <w:bottom w:val="single" w:sz="3" w:space="0" w:color="000000"/>
              <w:right w:val="single" w:sz="2" w:space="0" w:color="000000"/>
            </w:tcBorders>
          </w:tcPr>
          <w:p w:rsidR="0037596D" w:rsidRDefault="0037596D"/>
        </w:tc>
        <w:tc>
          <w:tcPr>
            <w:tcW w:w="444" w:type="dxa"/>
            <w:tcBorders>
              <w:top w:val="single" w:sz="3" w:space="0" w:color="000000"/>
              <w:left w:val="single" w:sz="2" w:space="0" w:color="000000"/>
              <w:bottom w:val="single" w:sz="3" w:space="0" w:color="000000"/>
              <w:right w:val="single" w:sz="2" w:space="0" w:color="000000"/>
            </w:tcBorders>
          </w:tcPr>
          <w:p w:rsidR="0037596D" w:rsidRDefault="0037596D"/>
        </w:tc>
        <w:tc>
          <w:tcPr>
            <w:tcW w:w="443" w:type="dxa"/>
            <w:tcBorders>
              <w:top w:val="single" w:sz="3" w:space="0" w:color="000000"/>
              <w:left w:val="single" w:sz="2" w:space="0" w:color="000000"/>
              <w:bottom w:val="single" w:sz="3" w:space="0" w:color="000000"/>
            </w:tcBorders>
          </w:tcPr>
          <w:p w:rsidR="0037596D" w:rsidRDefault="0037596D"/>
        </w:tc>
        <w:tc>
          <w:tcPr>
            <w:tcW w:w="444" w:type="dxa"/>
            <w:tcBorders>
              <w:top w:val="single" w:sz="3" w:space="0" w:color="000000"/>
              <w:bottom w:val="single" w:sz="3" w:space="0" w:color="000000"/>
            </w:tcBorders>
          </w:tcPr>
          <w:p w:rsidR="0037596D" w:rsidRDefault="0037596D"/>
        </w:tc>
        <w:tc>
          <w:tcPr>
            <w:tcW w:w="444" w:type="dxa"/>
            <w:tcBorders>
              <w:top w:val="single" w:sz="3" w:space="0" w:color="000000"/>
              <w:bottom w:val="single" w:sz="3" w:space="0" w:color="000000"/>
            </w:tcBorders>
          </w:tcPr>
          <w:p w:rsidR="0037596D" w:rsidRDefault="0037596D"/>
        </w:tc>
        <w:tc>
          <w:tcPr>
            <w:tcW w:w="443" w:type="dxa"/>
            <w:tcBorders>
              <w:top w:val="single" w:sz="3" w:space="0" w:color="000000"/>
              <w:bottom w:val="single" w:sz="3" w:space="0" w:color="000000"/>
              <w:right w:val="single" w:sz="3" w:space="0" w:color="000000"/>
            </w:tcBorders>
          </w:tcPr>
          <w:p w:rsidR="0037596D" w:rsidRDefault="0037596D"/>
        </w:tc>
        <w:tc>
          <w:tcPr>
            <w:tcW w:w="444" w:type="dxa"/>
            <w:tcBorders>
              <w:top w:val="single" w:sz="3" w:space="0" w:color="000000"/>
              <w:left w:val="single" w:sz="3" w:space="0" w:color="000000"/>
              <w:bottom w:val="single" w:sz="3" w:space="0" w:color="000000"/>
              <w:right w:val="single" w:sz="3" w:space="0" w:color="000000"/>
            </w:tcBorders>
          </w:tcPr>
          <w:p w:rsidR="0037596D" w:rsidRDefault="0037596D"/>
        </w:tc>
        <w:tc>
          <w:tcPr>
            <w:tcW w:w="444" w:type="dxa"/>
            <w:tcBorders>
              <w:top w:val="single" w:sz="3" w:space="0" w:color="000000"/>
              <w:left w:val="single" w:sz="3" w:space="0" w:color="000000"/>
              <w:bottom w:val="single" w:sz="3" w:space="0" w:color="000000"/>
              <w:right w:val="single" w:sz="3" w:space="0" w:color="000000"/>
            </w:tcBorders>
          </w:tcPr>
          <w:p w:rsidR="0037596D" w:rsidRDefault="0037596D"/>
        </w:tc>
        <w:tc>
          <w:tcPr>
            <w:tcW w:w="444" w:type="dxa"/>
            <w:tcBorders>
              <w:top w:val="single" w:sz="3" w:space="0" w:color="000000"/>
              <w:left w:val="single" w:sz="3" w:space="0" w:color="000000"/>
              <w:bottom w:val="single" w:sz="3" w:space="0" w:color="000000"/>
              <w:right w:val="single" w:sz="3" w:space="0" w:color="000000"/>
            </w:tcBorders>
          </w:tcPr>
          <w:p w:rsidR="0037596D" w:rsidRDefault="0037596D"/>
        </w:tc>
        <w:tc>
          <w:tcPr>
            <w:tcW w:w="444" w:type="dxa"/>
            <w:tcBorders>
              <w:top w:val="single" w:sz="3" w:space="0" w:color="000000"/>
              <w:left w:val="single" w:sz="3" w:space="0" w:color="000000"/>
              <w:bottom w:val="single" w:sz="3" w:space="0" w:color="000000"/>
              <w:right w:val="single" w:sz="3" w:space="0" w:color="000000"/>
            </w:tcBorders>
          </w:tcPr>
          <w:p w:rsidR="0037596D" w:rsidRDefault="0037596D"/>
        </w:tc>
        <w:tc>
          <w:tcPr>
            <w:tcW w:w="444" w:type="dxa"/>
            <w:tcBorders>
              <w:top w:val="single" w:sz="3" w:space="0" w:color="000000"/>
              <w:left w:val="single" w:sz="3" w:space="0" w:color="000000"/>
              <w:bottom w:val="single" w:sz="3" w:space="0" w:color="000000"/>
              <w:right w:val="single" w:sz="3" w:space="0" w:color="000000"/>
            </w:tcBorders>
          </w:tcPr>
          <w:p w:rsidR="0037596D" w:rsidRDefault="0037596D"/>
        </w:tc>
        <w:tc>
          <w:tcPr>
            <w:tcW w:w="444" w:type="dxa"/>
            <w:tcBorders>
              <w:top w:val="single" w:sz="3" w:space="0" w:color="000000"/>
              <w:left w:val="single" w:sz="3" w:space="0" w:color="000000"/>
              <w:bottom w:val="single" w:sz="3" w:space="0" w:color="000000"/>
              <w:right w:val="single" w:sz="3" w:space="0" w:color="000000"/>
            </w:tcBorders>
          </w:tcPr>
          <w:p w:rsidR="0037596D" w:rsidRDefault="0037596D"/>
        </w:tc>
        <w:tc>
          <w:tcPr>
            <w:tcW w:w="444" w:type="dxa"/>
            <w:tcBorders>
              <w:top w:val="single" w:sz="3" w:space="0" w:color="000000"/>
              <w:left w:val="single" w:sz="3" w:space="0" w:color="000000"/>
              <w:bottom w:val="single" w:sz="3" w:space="0" w:color="000000"/>
              <w:right w:val="single" w:sz="3" w:space="0" w:color="000000"/>
            </w:tcBorders>
          </w:tcPr>
          <w:p w:rsidR="0037596D" w:rsidRDefault="0037596D"/>
        </w:tc>
      </w:tr>
      <w:tr w:rsidR="0037596D">
        <w:trPr>
          <w:trHeight w:hRule="exact" w:val="242"/>
        </w:trPr>
        <w:tc>
          <w:tcPr>
            <w:tcW w:w="2251" w:type="dxa"/>
            <w:tcBorders>
              <w:top w:val="single" w:sz="3" w:space="0" w:color="000000"/>
              <w:bottom w:val="single" w:sz="3" w:space="0" w:color="000000"/>
              <w:right w:val="single" w:sz="3" w:space="0" w:color="000000"/>
            </w:tcBorders>
          </w:tcPr>
          <w:p w:rsidR="0037596D" w:rsidRDefault="00904D3A">
            <w:pPr>
              <w:pStyle w:val="TableParagraph"/>
              <w:spacing w:before="13"/>
              <w:ind w:left="26"/>
              <w:jc w:val="left"/>
              <w:rPr>
                <w:sz w:val="19"/>
              </w:rPr>
            </w:pPr>
            <w:r>
              <w:rPr>
                <w:sz w:val="19"/>
              </w:rPr>
              <w:t>Start of PhD student</w:t>
            </w:r>
          </w:p>
        </w:tc>
        <w:tc>
          <w:tcPr>
            <w:tcW w:w="444" w:type="dxa"/>
            <w:tcBorders>
              <w:top w:val="single" w:sz="3" w:space="0" w:color="000000"/>
              <w:left w:val="single" w:sz="3" w:space="0" w:color="000000"/>
              <w:bottom w:val="single" w:sz="3" w:space="0" w:color="000000"/>
              <w:right w:val="single" w:sz="2" w:space="0" w:color="000000"/>
            </w:tcBorders>
          </w:tcPr>
          <w:p w:rsidR="0037596D" w:rsidRDefault="0037596D"/>
        </w:tc>
        <w:tc>
          <w:tcPr>
            <w:tcW w:w="444" w:type="dxa"/>
            <w:tcBorders>
              <w:top w:val="nil"/>
              <w:left w:val="nil"/>
              <w:bottom w:val="nil"/>
              <w:right w:val="nil"/>
            </w:tcBorders>
            <w:shd w:val="clear" w:color="auto" w:fill="000000"/>
          </w:tcPr>
          <w:p w:rsidR="0037596D" w:rsidRDefault="0037596D"/>
        </w:tc>
        <w:tc>
          <w:tcPr>
            <w:tcW w:w="444" w:type="dxa"/>
            <w:tcBorders>
              <w:top w:val="single" w:sz="3" w:space="0" w:color="000000"/>
              <w:left w:val="single" w:sz="2" w:space="0" w:color="000000"/>
              <w:bottom w:val="single" w:sz="3" w:space="0" w:color="000000"/>
              <w:right w:val="single" w:sz="2" w:space="0" w:color="000000"/>
            </w:tcBorders>
          </w:tcPr>
          <w:p w:rsidR="0037596D" w:rsidRDefault="0037596D"/>
        </w:tc>
        <w:tc>
          <w:tcPr>
            <w:tcW w:w="444" w:type="dxa"/>
            <w:tcBorders>
              <w:top w:val="single" w:sz="3" w:space="0" w:color="000000"/>
              <w:left w:val="single" w:sz="2" w:space="0" w:color="000000"/>
              <w:bottom w:val="single" w:sz="3" w:space="0" w:color="000000"/>
              <w:right w:val="single" w:sz="2" w:space="0" w:color="000000"/>
            </w:tcBorders>
          </w:tcPr>
          <w:p w:rsidR="0037596D" w:rsidRDefault="0037596D"/>
        </w:tc>
        <w:tc>
          <w:tcPr>
            <w:tcW w:w="444" w:type="dxa"/>
            <w:tcBorders>
              <w:top w:val="single" w:sz="3" w:space="0" w:color="000000"/>
              <w:left w:val="single" w:sz="2" w:space="0" w:color="000000"/>
              <w:bottom w:val="single" w:sz="3" w:space="0" w:color="000000"/>
              <w:right w:val="single" w:sz="2" w:space="0" w:color="000000"/>
            </w:tcBorders>
          </w:tcPr>
          <w:p w:rsidR="0037596D" w:rsidRDefault="0037596D"/>
        </w:tc>
        <w:tc>
          <w:tcPr>
            <w:tcW w:w="443" w:type="dxa"/>
            <w:tcBorders>
              <w:top w:val="single" w:sz="3" w:space="0" w:color="000000"/>
              <w:left w:val="single" w:sz="2" w:space="0" w:color="000000"/>
              <w:bottom w:val="single" w:sz="3" w:space="0" w:color="000000"/>
            </w:tcBorders>
          </w:tcPr>
          <w:p w:rsidR="0037596D" w:rsidRDefault="0037596D"/>
        </w:tc>
        <w:tc>
          <w:tcPr>
            <w:tcW w:w="444" w:type="dxa"/>
            <w:tcBorders>
              <w:top w:val="single" w:sz="3" w:space="0" w:color="000000"/>
              <w:bottom w:val="single" w:sz="3" w:space="0" w:color="000000"/>
            </w:tcBorders>
          </w:tcPr>
          <w:p w:rsidR="0037596D" w:rsidRDefault="0037596D"/>
        </w:tc>
        <w:tc>
          <w:tcPr>
            <w:tcW w:w="444" w:type="dxa"/>
            <w:tcBorders>
              <w:top w:val="single" w:sz="3" w:space="0" w:color="000000"/>
              <w:bottom w:val="single" w:sz="3" w:space="0" w:color="000000"/>
            </w:tcBorders>
          </w:tcPr>
          <w:p w:rsidR="0037596D" w:rsidRDefault="0037596D"/>
        </w:tc>
        <w:tc>
          <w:tcPr>
            <w:tcW w:w="443" w:type="dxa"/>
            <w:tcBorders>
              <w:top w:val="single" w:sz="3" w:space="0" w:color="000000"/>
              <w:bottom w:val="single" w:sz="3" w:space="0" w:color="000000"/>
              <w:right w:val="single" w:sz="3" w:space="0" w:color="000000"/>
            </w:tcBorders>
          </w:tcPr>
          <w:p w:rsidR="0037596D" w:rsidRDefault="0037596D"/>
        </w:tc>
        <w:tc>
          <w:tcPr>
            <w:tcW w:w="444" w:type="dxa"/>
            <w:tcBorders>
              <w:top w:val="single" w:sz="3" w:space="0" w:color="000000"/>
              <w:left w:val="single" w:sz="3" w:space="0" w:color="000000"/>
              <w:bottom w:val="single" w:sz="3" w:space="0" w:color="000000"/>
              <w:right w:val="single" w:sz="3" w:space="0" w:color="000000"/>
            </w:tcBorders>
          </w:tcPr>
          <w:p w:rsidR="0037596D" w:rsidRDefault="0037596D"/>
        </w:tc>
        <w:tc>
          <w:tcPr>
            <w:tcW w:w="444" w:type="dxa"/>
            <w:tcBorders>
              <w:top w:val="single" w:sz="3" w:space="0" w:color="000000"/>
              <w:left w:val="single" w:sz="3" w:space="0" w:color="000000"/>
              <w:bottom w:val="single" w:sz="3" w:space="0" w:color="000000"/>
              <w:right w:val="single" w:sz="3" w:space="0" w:color="000000"/>
            </w:tcBorders>
          </w:tcPr>
          <w:p w:rsidR="0037596D" w:rsidRDefault="0037596D"/>
        </w:tc>
        <w:tc>
          <w:tcPr>
            <w:tcW w:w="444" w:type="dxa"/>
            <w:tcBorders>
              <w:top w:val="single" w:sz="3" w:space="0" w:color="000000"/>
              <w:left w:val="single" w:sz="3" w:space="0" w:color="000000"/>
              <w:bottom w:val="single" w:sz="3" w:space="0" w:color="000000"/>
              <w:right w:val="single" w:sz="3" w:space="0" w:color="000000"/>
            </w:tcBorders>
          </w:tcPr>
          <w:p w:rsidR="0037596D" w:rsidRDefault="0037596D"/>
        </w:tc>
        <w:tc>
          <w:tcPr>
            <w:tcW w:w="444" w:type="dxa"/>
            <w:tcBorders>
              <w:top w:val="single" w:sz="3" w:space="0" w:color="000000"/>
              <w:left w:val="single" w:sz="3" w:space="0" w:color="000000"/>
              <w:bottom w:val="single" w:sz="3" w:space="0" w:color="000000"/>
              <w:right w:val="single" w:sz="3" w:space="0" w:color="000000"/>
            </w:tcBorders>
          </w:tcPr>
          <w:p w:rsidR="0037596D" w:rsidRDefault="0037596D"/>
        </w:tc>
        <w:tc>
          <w:tcPr>
            <w:tcW w:w="444" w:type="dxa"/>
            <w:tcBorders>
              <w:top w:val="single" w:sz="3" w:space="0" w:color="000000"/>
              <w:left w:val="single" w:sz="3" w:space="0" w:color="000000"/>
              <w:bottom w:val="single" w:sz="3" w:space="0" w:color="000000"/>
              <w:right w:val="single" w:sz="3" w:space="0" w:color="000000"/>
            </w:tcBorders>
          </w:tcPr>
          <w:p w:rsidR="0037596D" w:rsidRDefault="0037596D"/>
        </w:tc>
        <w:tc>
          <w:tcPr>
            <w:tcW w:w="444" w:type="dxa"/>
            <w:tcBorders>
              <w:top w:val="single" w:sz="3" w:space="0" w:color="000000"/>
              <w:left w:val="single" w:sz="3" w:space="0" w:color="000000"/>
              <w:bottom w:val="single" w:sz="3" w:space="0" w:color="000000"/>
              <w:right w:val="single" w:sz="3" w:space="0" w:color="000000"/>
            </w:tcBorders>
          </w:tcPr>
          <w:p w:rsidR="0037596D" w:rsidRDefault="0037596D"/>
        </w:tc>
        <w:tc>
          <w:tcPr>
            <w:tcW w:w="444" w:type="dxa"/>
            <w:tcBorders>
              <w:top w:val="single" w:sz="3" w:space="0" w:color="000000"/>
              <w:left w:val="single" w:sz="3" w:space="0" w:color="000000"/>
              <w:bottom w:val="single" w:sz="3" w:space="0" w:color="000000"/>
              <w:right w:val="single" w:sz="3" w:space="0" w:color="000000"/>
            </w:tcBorders>
          </w:tcPr>
          <w:p w:rsidR="0037596D" w:rsidRDefault="0037596D"/>
        </w:tc>
      </w:tr>
      <w:tr w:rsidR="0037596D">
        <w:trPr>
          <w:trHeight w:hRule="exact" w:val="243"/>
        </w:trPr>
        <w:tc>
          <w:tcPr>
            <w:tcW w:w="2251" w:type="dxa"/>
            <w:tcBorders>
              <w:top w:val="single" w:sz="3" w:space="0" w:color="000000"/>
              <w:right w:val="single" w:sz="3" w:space="0" w:color="000000"/>
            </w:tcBorders>
          </w:tcPr>
          <w:p w:rsidR="0037596D" w:rsidRDefault="00904D3A">
            <w:pPr>
              <w:pStyle w:val="TableParagraph"/>
              <w:spacing w:before="13"/>
              <w:ind w:left="26"/>
              <w:jc w:val="left"/>
              <w:rPr>
                <w:sz w:val="19"/>
              </w:rPr>
            </w:pPr>
            <w:r>
              <w:rPr>
                <w:sz w:val="19"/>
              </w:rPr>
              <w:t>Instrumentation of field sites</w:t>
            </w:r>
          </w:p>
        </w:tc>
        <w:tc>
          <w:tcPr>
            <w:tcW w:w="444" w:type="dxa"/>
            <w:tcBorders>
              <w:top w:val="nil"/>
              <w:left w:val="nil"/>
              <w:bottom w:val="nil"/>
              <w:right w:val="nil"/>
            </w:tcBorders>
            <w:shd w:val="clear" w:color="auto" w:fill="000000"/>
          </w:tcPr>
          <w:p w:rsidR="0037596D" w:rsidRDefault="0037596D"/>
        </w:tc>
        <w:tc>
          <w:tcPr>
            <w:tcW w:w="444" w:type="dxa"/>
            <w:tcBorders>
              <w:top w:val="nil"/>
              <w:left w:val="nil"/>
              <w:bottom w:val="nil"/>
              <w:right w:val="nil"/>
            </w:tcBorders>
            <w:shd w:val="clear" w:color="auto" w:fill="000000"/>
          </w:tcPr>
          <w:p w:rsidR="0037596D" w:rsidRDefault="0037596D"/>
        </w:tc>
        <w:tc>
          <w:tcPr>
            <w:tcW w:w="444" w:type="dxa"/>
            <w:tcBorders>
              <w:top w:val="single" w:sz="3" w:space="0" w:color="000000"/>
              <w:left w:val="single" w:sz="2" w:space="0" w:color="000000"/>
              <w:right w:val="single" w:sz="2" w:space="0" w:color="000000"/>
            </w:tcBorders>
          </w:tcPr>
          <w:p w:rsidR="0037596D" w:rsidRDefault="0037596D"/>
        </w:tc>
        <w:tc>
          <w:tcPr>
            <w:tcW w:w="444" w:type="dxa"/>
            <w:tcBorders>
              <w:top w:val="single" w:sz="3" w:space="0" w:color="000000"/>
              <w:left w:val="single" w:sz="2" w:space="0" w:color="000000"/>
              <w:right w:val="single" w:sz="2" w:space="0" w:color="000000"/>
            </w:tcBorders>
          </w:tcPr>
          <w:p w:rsidR="0037596D" w:rsidRDefault="0037596D"/>
        </w:tc>
        <w:tc>
          <w:tcPr>
            <w:tcW w:w="444" w:type="dxa"/>
            <w:tcBorders>
              <w:top w:val="single" w:sz="3" w:space="0" w:color="000000"/>
              <w:left w:val="single" w:sz="2" w:space="0" w:color="000000"/>
              <w:right w:val="single" w:sz="2" w:space="0" w:color="000000"/>
            </w:tcBorders>
          </w:tcPr>
          <w:p w:rsidR="0037596D" w:rsidRDefault="0037596D"/>
        </w:tc>
        <w:tc>
          <w:tcPr>
            <w:tcW w:w="443" w:type="dxa"/>
            <w:tcBorders>
              <w:top w:val="single" w:sz="3" w:space="0" w:color="000000"/>
              <w:left w:val="single" w:sz="2" w:space="0" w:color="000000"/>
            </w:tcBorders>
          </w:tcPr>
          <w:p w:rsidR="0037596D" w:rsidRDefault="0037596D"/>
        </w:tc>
        <w:tc>
          <w:tcPr>
            <w:tcW w:w="444" w:type="dxa"/>
            <w:tcBorders>
              <w:top w:val="single" w:sz="3" w:space="0" w:color="000000"/>
            </w:tcBorders>
          </w:tcPr>
          <w:p w:rsidR="0037596D" w:rsidRDefault="0037596D"/>
        </w:tc>
        <w:tc>
          <w:tcPr>
            <w:tcW w:w="444" w:type="dxa"/>
            <w:tcBorders>
              <w:top w:val="single" w:sz="3" w:space="0" w:color="000000"/>
            </w:tcBorders>
          </w:tcPr>
          <w:p w:rsidR="0037596D" w:rsidRDefault="0037596D"/>
        </w:tc>
        <w:tc>
          <w:tcPr>
            <w:tcW w:w="443" w:type="dxa"/>
            <w:tcBorders>
              <w:top w:val="single" w:sz="3" w:space="0" w:color="000000"/>
              <w:right w:val="single" w:sz="3" w:space="0" w:color="000000"/>
            </w:tcBorders>
          </w:tcPr>
          <w:p w:rsidR="0037596D" w:rsidRDefault="0037596D"/>
        </w:tc>
        <w:tc>
          <w:tcPr>
            <w:tcW w:w="444" w:type="dxa"/>
            <w:tcBorders>
              <w:top w:val="single" w:sz="3" w:space="0" w:color="000000"/>
              <w:left w:val="single" w:sz="3" w:space="0" w:color="000000"/>
              <w:right w:val="single" w:sz="3" w:space="0" w:color="000000"/>
            </w:tcBorders>
          </w:tcPr>
          <w:p w:rsidR="0037596D" w:rsidRDefault="0037596D"/>
        </w:tc>
        <w:tc>
          <w:tcPr>
            <w:tcW w:w="444" w:type="dxa"/>
            <w:tcBorders>
              <w:top w:val="single" w:sz="3" w:space="0" w:color="000000"/>
              <w:left w:val="single" w:sz="3" w:space="0" w:color="000000"/>
              <w:right w:val="single" w:sz="3" w:space="0" w:color="000000"/>
            </w:tcBorders>
          </w:tcPr>
          <w:p w:rsidR="0037596D" w:rsidRDefault="0037596D"/>
        </w:tc>
        <w:tc>
          <w:tcPr>
            <w:tcW w:w="444" w:type="dxa"/>
            <w:tcBorders>
              <w:top w:val="single" w:sz="3" w:space="0" w:color="000000"/>
              <w:left w:val="single" w:sz="3" w:space="0" w:color="000000"/>
              <w:right w:val="single" w:sz="3" w:space="0" w:color="000000"/>
            </w:tcBorders>
          </w:tcPr>
          <w:p w:rsidR="0037596D" w:rsidRDefault="0037596D"/>
        </w:tc>
        <w:tc>
          <w:tcPr>
            <w:tcW w:w="444" w:type="dxa"/>
            <w:tcBorders>
              <w:top w:val="single" w:sz="3" w:space="0" w:color="000000"/>
              <w:left w:val="single" w:sz="3" w:space="0" w:color="000000"/>
              <w:right w:val="single" w:sz="3" w:space="0" w:color="000000"/>
            </w:tcBorders>
          </w:tcPr>
          <w:p w:rsidR="0037596D" w:rsidRDefault="0037596D"/>
        </w:tc>
        <w:tc>
          <w:tcPr>
            <w:tcW w:w="444" w:type="dxa"/>
            <w:tcBorders>
              <w:top w:val="single" w:sz="3" w:space="0" w:color="000000"/>
              <w:left w:val="single" w:sz="3" w:space="0" w:color="000000"/>
              <w:right w:val="single" w:sz="3" w:space="0" w:color="000000"/>
            </w:tcBorders>
          </w:tcPr>
          <w:p w:rsidR="0037596D" w:rsidRDefault="0037596D"/>
        </w:tc>
        <w:tc>
          <w:tcPr>
            <w:tcW w:w="444" w:type="dxa"/>
            <w:tcBorders>
              <w:top w:val="single" w:sz="3" w:space="0" w:color="000000"/>
              <w:left w:val="single" w:sz="3" w:space="0" w:color="000000"/>
              <w:right w:val="single" w:sz="3" w:space="0" w:color="000000"/>
            </w:tcBorders>
          </w:tcPr>
          <w:p w:rsidR="0037596D" w:rsidRDefault="0037596D"/>
        </w:tc>
        <w:tc>
          <w:tcPr>
            <w:tcW w:w="444" w:type="dxa"/>
            <w:tcBorders>
              <w:top w:val="single" w:sz="3" w:space="0" w:color="000000"/>
              <w:left w:val="single" w:sz="3" w:space="0" w:color="000000"/>
              <w:right w:val="single" w:sz="3" w:space="0" w:color="000000"/>
            </w:tcBorders>
          </w:tcPr>
          <w:p w:rsidR="0037596D" w:rsidRDefault="0037596D"/>
        </w:tc>
      </w:tr>
      <w:tr w:rsidR="0037596D">
        <w:trPr>
          <w:trHeight w:hRule="exact" w:val="485"/>
        </w:trPr>
        <w:tc>
          <w:tcPr>
            <w:tcW w:w="2251" w:type="dxa"/>
            <w:tcBorders>
              <w:bottom w:val="single" w:sz="2" w:space="0" w:color="000000"/>
              <w:right w:val="single" w:sz="3" w:space="0" w:color="000000"/>
            </w:tcBorders>
          </w:tcPr>
          <w:p w:rsidR="0037596D" w:rsidRDefault="00904D3A">
            <w:pPr>
              <w:pStyle w:val="TableParagraph"/>
              <w:spacing w:before="15" w:line="266" w:lineRule="auto"/>
              <w:ind w:left="26"/>
              <w:jc w:val="left"/>
              <w:rPr>
                <w:sz w:val="19"/>
              </w:rPr>
            </w:pPr>
            <w:r>
              <w:rPr>
                <w:sz w:val="19"/>
              </w:rPr>
              <w:t>Mensuration data on WLPZ stand structure</w:t>
            </w:r>
          </w:p>
        </w:tc>
        <w:tc>
          <w:tcPr>
            <w:tcW w:w="444" w:type="dxa"/>
            <w:tcBorders>
              <w:top w:val="nil"/>
              <w:left w:val="nil"/>
              <w:bottom w:val="nil"/>
              <w:right w:val="nil"/>
            </w:tcBorders>
            <w:shd w:val="clear" w:color="auto" w:fill="000000"/>
          </w:tcPr>
          <w:p w:rsidR="0037596D" w:rsidRDefault="0037596D"/>
        </w:tc>
        <w:tc>
          <w:tcPr>
            <w:tcW w:w="444" w:type="dxa"/>
            <w:tcBorders>
              <w:top w:val="nil"/>
              <w:left w:val="nil"/>
              <w:bottom w:val="nil"/>
              <w:right w:val="nil"/>
            </w:tcBorders>
            <w:shd w:val="clear" w:color="auto" w:fill="000000"/>
          </w:tcPr>
          <w:p w:rsidR="0037596D" w:rsidRDefault="0037596D"/>
        </w:tc>
        <w:tc>
          <w:tcPr>
            <w:tcW w:w="444" w:type="dxa"/>
            <w:tcBorders>
              <w:left w:val="single" w:sz="2" w:space="0" w:color="000000"/>
              <w:bottom w:val="single" w:sz="2" w:space="0" w:color="000000"/>
              <w:right w:val="single" w:sz="2" w:space="0" w:color="000000"/>
            </w:tcBorders>
          </w:tcPr>
          <w:p w:rsidR="0037596D" w:rsidRDefault="0037596D"/>
        </w:tc>
        <w:tc>
          <w:tcPr>
            <w:tcW w:w="444" w:type="dxa"/>
            <w:tcBorders>
              <w:left w:val="single" w:sz="2" w:space="0" w:color="000000"/>
              <w:bottom w:val="single" w:sz="2" w:space="0" w:color="000000"/>
              <w:right w:val="single" w:sz="2" w:space="0" w:color="000000"/>
            </w:tcBorders>
          </w:tcPr>
          <w:p w:rsidR="0037596D" w:rsidRDefault="0037596D"/>
        </w:tc>
        <w:tc>
          <w:tcPr>
            <w:tcW w:w="444" w:type="dxa"/>
            <w:tcBorders>
              <w:top w:val="nil"/>
              <w:left w:val="nil"/>
              <w:bottom w:val="nil"/>
              <w:right w:val="nil"/>
            </w:tcBorders>
            <w:shd w:val="clear" w:color="auto" w:fill="000000"/>
          </w:tcPr>
          <w:p w:rsidR="0037596D" w:rsidRDefault="0037596D"/>
        </w:tc>
        <w:tc>
          <w:tcPr>
            <w:tcW w:w="443" w:type="dxa"/>
            <w:tcBorders>
              <w:left w:val="single" w:sz="2" w:space="0" w:color="000000"/>
              <w:bottom w:val="single" w:sz="2" w:space="0" w:color="000000"/>
            </w:tcBorders>
          </w:tcPr>
          <w:p w:rsidR="0037596D" w:rsidRDefault="0037596D"/>
        </w:tc>
        <w:tc>
          <w:tcPr>
            <w:tcW w:w="444" w:type="dxa"/>
            <w:tcBorders>
              <w:bottom w:val="single" w:sz="2" w:space="0" w:color="000000"/>
            </w:tcBorders>
          </w:tcPr>
          <w:p w:rsidR="0037596D" w:rsidRDefault="0037596D"/>
        </w:tc>
        <w:tc>
          <w:tcPr>
            <w:tcW w:w="444" w:type="dxa"/>
            <w:tcBorders>
              <w:bottom w:val="single" w:sz="2" w:space="0" w:color="000000"/>
            </w:tcBorders>
          </w:tcPr>
          <w:p w:rsidR="0037596D" w:rsidRDefault="0037596D"/>
        </w:tc>
        <w:tc>
          <w:tcPr>
            <w:tcW w:w="443" w:type="dxa"/>
            <w:tcBorders>
              <w:top w:val="nil"/>
              <w:left w:val="nil"/>
              <w:bottom w:val="nil"/>
              <w:right w:val="nil"/>
            </w:tcBorders>
            <w:shd w:val="clear" w:color="auto" w:fill="000000"/>
          </w:tcPr>
          <w:p w:rsidR="0037596D" w:rsidRDefault="0037596D"/>
        </w:tc>
        <w:tc>
          <w:tcPr>
            <w:tcW w:w="444" w:type="dxa"/>
            <w:tcBorders>
              <w:left w:val="single" w:sz="3" w:space="0" w:color="000000"/>
              <w:bottom w:val="single" w:sz="2" w:space="0" w:color="000000"/>
              <w:right w:val="single" w:sz="3" w:space="0" w:color="000000"/>
            </w:tcBorders>
          </w:tcPr>
          <w:p w:rsidR="0037596D" w:rsidRDefault="0037596D"/>
        </w:tc>
        <w:tc>
          <w:tcPr>
            <w:tcW w:w="444" w:type="dxa"/>
            <w:tcBorders>
              <w:left w:val="single" w:sz="3" w:space="0" w:color="000000"/>
              <w:bottom w:val="single" w:sz="2" w:space="0" w:color="000000"/>
              <w:right w:val="single" w:sz="3" w:space="0" w:color="000000"/>
            </w:tcBorders>
          </w:tcPr>
          <w:p w:rsidR="0037596D" w:rsidRDefault="0037596D"/>
        </w:tc>
        <w:tc>
          <w:tcPr>
            <w:tcW w:w="444" w:type="dxa"/>
            <w:tcBorders>
              <w:left w:val="single" w:sz="3" w:space="0" w:color="000000"/>
              <w:bottom w:val="single" w:sz="2" w:space="0" w:color="000000"/>
              <w:right w:val="single" w:sz="3" w:space="0" w:color="000000"/>
            </w:tcBorders>
          </w:tcPr>
          <w:p w:rsidR="0037596D" w:rsidRDefault="0037596D"/>
        </w:tc>
        <w:tc>
          <w:tcPr>
            <w:tcW w:w="444" w:type="dxa"/>
            <w:tcBorders>
              <w:top w:val="nil"/>
              <w:left w:val="nil"/>
              <w:bottom w:val="nil"/>
              <w:right w:val="nil"/>
            </w:tcBorders>
            <w:shd w:val="clear" w:color="auto" w:fill="000000"/>
          </w:tcPr>
          <w:p w:rsidR="0037596D" w:rsidRDefault="0037596D"/>
        </w:tc>
        <w:tc>
          <w:tcPr>
            <w:tcW w:w="444" w:type="dxa"/>
            <w:tcBorders>
              <w:left w:val="single" w:sz="3" w:space="0" w:color="000000"/>
              <w:bottom w:val="single" w:sz="2" w:space="0" w:color="000000"/>
              <w:right w:val="single" w:sz="3" w:space="0" w:color="000000"/>
            </w:tcBorders>
          </w:tcPr>
          <w:p w:rsidR="0037596D" w:rsidRDefault="0037596D"/>
        </w:tc>
        <w:tc>
          <w:tcPr>
            <w:tcW w:w="444" w:type="dxa"/>
            <w:tcBorders>
              <w:left w:val="single" w:sz="3" w:space="0" w:color="000000"/>
              <w:bottom w:val="single" w:sz="2" w:space="0" w:color="000000"/>
              <w:right w:val="single" w:sz="3" w:space="0" w:color="000000"/>
            </w:tcBorders>
          </w:tcPr>
          <w:p w:rsidR="0037596D" w:rsidRDefault="0037596D"/>
        </w:tc>
        <w:tc>
          <w:tcPr>
            <w:tcW w:w="444" w:type="dxa"/>
            <w:tcBorders>
              <w:top w:val="nil"/>
              <w:left w:val="nil"/>
              <w:bottom w:val="nil"/>
              <w:right w:val="nil"/>
            </w:tcBorders>
            <w:shd w:val="clear" w:color="auto" w:fill="000000"/>
          </w:tcPr>
          <w:p w:rsidR="0037596D" w:rsidRDefault="0037596D"/>
        </w:tc>
      </w:tr>
      <w:tr w:rsidR="0037596D">
        <w:trPr>
          <w:trHeight w:hRule="exact" w:val="485"/>
        </w:trPr>
        <w:tc>
          <w:tcPr>
            <w:tcW w:w="2251" w:type="dxa"/>
            <w:tcBorders>
              <w:top w:val="single" w:sz="2" w:space="0" w:color="000000"/>
              <w:bottom w:val="single" w:sz="3" w:space="0" w:color="000000"/>
              <w:right w:val="single" w:sz="3" w:space="0" w:color="000000"/>
            </w:tcBorders>
          </w:tcPr>
          <w:p w:rsidR="0037596D" w:rsidRDefault="00904D3A">
            <w:pPr>
              <w:pStyle w:val="TableParagraph"/>
              <w:spacing w:before="13" w:line="266" w:lineRule="auto"/>
              <w:ind w:left="26"/>
              <w:jc w:val="left"/>
              <w:rPr>
                <w:sz w:val="19"/>
              </w:rPr>
            </w:pPr>
            <w:r>
              <w:rPr>
                <w:sz w:val="19"/>
              </w:rPr>
              <w:t>Hemispherical photos for canopy closure</w:t>
            </w:r>
          </w:p>
        </w:tc>
        <w:tc>
          <w:tcPr>
            <w:tcW w:w="444" w:type="dxa"/>
            <w:tcBorders>
              <w:top w:val="nil"/>
              <w:left w:val="nil"/>
              <w:bottom w:val="nil"/>
              <w:right w:val="nil"/>
            </w:tcBorders>
            <w:shd w:val="clear" w:color="auto" w:fill="000000"/>
          </w:tcPr>
          <w:p w:rsidR="0037596D" w:rsidRDefault="0037596D"/>
        </w:tc>
        <w:tc>
          <w:tcPr>
            <w:tcW w:w="444" w:type="dxa"/>
            <w:tcBorders>
              <w:top w:val="nil"/>
              <w:left w:val="nil"/>
              <w:bottom w:val="nil"/>
              <w:right w:val="nil"/>
            </w:tcBorders>
            <w:shd w:val="clear" w:color="auto" w:fill="000000"/>
          </w:tcPr>
          <w:p w:rsidR="0037596D" w:rsidRDefault="0037596D"/>
        </w:tc>
        <w:tc>
          <w:tcPr>
            <w:tcW w:w="444" w:type="dxa"/>
            <w:tcBorders>
              <w:top w:val="single" w:sz="2" w:space="0" w:color="000000"/>
              <w:left w:val="single" w:sz="2" w:space="0" w:color="000000"/>
              <w:bottom w:val="single" w:sz="3" w:space="0" w:color="000000"/>
              <w:right w:val="single" w:sz="2" w:space="0" w:color="000000"/>
            </w:tcBorders>
          </w:tcPr>
          <w:p w:rsidR="0037596D" w:rsidRDefault="0037596D"/>
        </w:tc>
        <w:tc>
          <w:tcPr>
            <w:tcW w:w="444" w:type="dxa"/>
            <w:tcBorders>
              <w:top w:val="nil"/>
              <w:left w:val="nil"/>
              <w:bottom w:val="nil"/>
              <w:right w:val="nil"/>
            </w:tcBorders>
            <w:shd w:val="clear" w:color="auto" w:fill="000000"/>
          </w:tcPr>
          <w:p w:rsidR="0037596D" w:rsidRDefault="0037596D"/>
        </w:tc>
        <w:tc>
          <w:tcPr>
            <w:tcW w:w="444" w:type="dxa"/>
            <w:tcBorders>
              <w:top w:val="nil"/>
              <w:left w:val="nil"/>
              <w:bottom w:val="nil"/>
              <w:right w:val="nil"/>
            </w:tcBorders>
            <w:shd w:val="clear" w:color="auto" w:fill="000000"/>
          </w:tcPr>
          <w:p w:rsidR="0037596D" w:rsidRDefault="0037596D"/>
        </w:tc>
        <w:tc>
          <w:tcPr>
            <w:tcW w:w="443" w:type="dxa"/>
            <w:tcBorders>
              <w:top w:val="single" w:sz="2" w:space="0" w:color="000000"/>
              <w:left w:val="single" w:sz="2" w:space="0" w:color="000000"/>
              <w:bottom w:val="single" w:sz="3" w:space="0" w:color="000000"/>
            </w:tcBorders>
          </w:tcPr>
          <w:p w:rsidR="0037596D" w:rsidRDefault="0037596D"/>
        </w:tc>
        <w:tc>
          <w:tcPr>
            <w:tcW w:w="444" w:type="dxa"/>
            <w:tcBorders>
              <w:top w:val="single" w:sz="2" w:space="0" w:color="000000"/>
              <w:bottom w:val="single" w:sz="3" w:space="0" w:color="000000"/>
            </w:tcBorders>
          </w:tcPr>
          <w:p w:rsidR="0037596D" w:rsidRDefault="0037596D"/>
        </w:tc>
        <w:tc>
          <w:tcPr>
            <w:tcW w:w="444" w:type="dxa"/>
            <w:tcBorders>
              <w:top w:val="nil"/>
              <w:left w:val="nil"/>
              <w:bottom w:val="nil"/>
              <w:right w:val="nil"/>
            </w:tcBorders>
            <w:shd w:val="clear" w:color="auto" w:fill="000000"/>
          </w:tcPr>
          <w:p w:rsidR="0037596D" w:rsidRDefault="0037596D"/>
        </w:tc>
        <w:tc>
          <w:tcPr>
            <w:tcW w:w="443" w:type="dxa"/>
            <w:tcBorders>
              <w:top w:val="nil"/>
              <w:left w:val="nil"/>
              <w:bottom w:val="nil"/>
              <w:right w:val="nil"/>
            </w:tcBorders>
            <w:shd w:val="clear" w:color="auto" w:fill="000000"/>
          </w:tcPr>
          <w:p w:rsidR="0037596D" w:rsidRDefault="0037596D"/>
        </w:tc>
        <w:tc>
          <w:tcPr>
            <w:tcW w:w="444" w:type="dxa"/>
            <w:tcBorders>
              <w:top w:val="single" w:sz="2" w:space="0" w:color="000000"/>
              <w:left w:val="single" w:sz="3" w:space="0" w:color="000000"/>
              <w:bottom w:val="single" w:sz="3" w:space="0" w:color="000000"/>
              <w:right w:val="single" w:sz="3" w:space="0" w:color="000000"/>
            </w:tcBorders>
          </w:tcPr>
          <w:p w:rsidR="0037596D" w:rsidRDefault="0037596D"/>
        </w:tc>
        <w:tc>
          <w:tcPr>
            <w:tcW w:w="444" w:type="dxa"/>
            <w:tcBorders>
              <w:top w:val="single" w:sz="2" w:space="0" w:color="000000"/>
              <w:left w:val="single" w:sz="3" w:space="0" w:color="000000"/>
              <w:bottom w:val="single" w:sz="3" w:space="0" w:color="000000"/>
              <w:right w:val="single" w:sz="3" w:space="0" w:color="000000"/>
            </w:tcBorders>
          </w:tcPr>
          <w:p w:rsidR="0037596D" w:rsidRDefault="0037596D"/>
        </w:tc>
        <w:tc>
          <w:tcPr>
            <w:tcW w:w="444" w:type="dxa"/>
            <w:tcBorders>
              <w:top w:val="nil"/>
              <w:left w:val="nil"/>
              <w:bottom w:val="nil"/>
              <w:right w:val="nil"/>
            </w:tcBorders>
            <w:shd w:val="clear" w:color="auto" w:fill="000000"/>
          </w:tcPr>
          <w:p w:rsidR="0037596D" w:rsidRDefault="0037596D"/>
        </w:tc>
        <w:tc>
          <w:tcPr>
            <w:tcW w:w="444" w:type="dxa"/>
            <w:tcBorders>
              <w:top w:val="nil"/>
              <w:left w:val="nil"/>
              <w:bottom w:val="nil"/>
              <w:right w:val="nil"/>
            </w:tcBorders>
            <w:shd w:val="clear" w:color="auto" w:fill="000000"/>
          </w:tcPr>
          <w:p w:rsidR="0037596D" w:rsidRDefault="0037596D"/>
        </w:tc>
        <w:tc>
          <w:tcPr>
            <w:tcW w:w="444" w:type="dxa"/>
            <w:tcBorders>
              <w:top w:val="single" w:sz="2" w:space="0" w:color="000000"/>
              <w:left w:val="single" w:sz="3" w:space="0" w:color="000000"/>
              <w:bottom w:val="single" w:sz="3" w:space="0" w:color="000000"/>
              <w:right w:val="single" w:sz="3" w:space="0" w:color="000000"/>
            </w:tcBorders>
          </w:tcPr>
          <w:p w:rsidR="0037596D" w:rsidRDefault="0037596D"/>
        </w:tc>
        <w:tc>
          <w:tcPr>
            <w:tcW w:w="444" w:type="dxa"/>
            <w:tcBorders>
              <w:top w:val="single" w:sz="2" w:space="0" w:color="000000"/>
              <w:left w:val="single" w:sz="3" w:space="0" w:color="000000"/>
              <w:bottom w:val="single" w:sz="3" w:space="0" w:color="000000"/>
              <w:right w:val="single" w:sz="3" w:space="0" w:color="000000"/>
            </w:tcBorders>
          </w:tcPr>
          <w:p w:rsidR="0037596D" w:rsidRDefault="0037596D"/>
        </w:tc>
        <w:tc>
          <w:tcPr>
            <w:tcW w:w="444" w:type="dxa"/>
            <w:tcBorders>
              <w:top w:val="nil"/>
              <w:left w:val="nil"/>
              <w:bottom w:val="nil"/>
              <w:right w:val="nil"/>
            </w:tcBorders>
            <w:shd w:val="clear" w:color="auto" w:fill="000000"/>
          </w:tcPr>
          <w:p w:rsidR="0037596D" w:rsidRDefault="0037596D"/>
        </w:tc>
      </w:tr>
      <w:tr w:rsidR="0037596D">
        <w:trPr>
          <w:trHeight w:hRule="exact" w:val="485"/>
        </w:trPr>
        <w:tc>
          <w:tcPr>
            <w:tcW w:w="2251" w:type="dxa"/>
            <w:tcBorders>
              <w:top w:val="single" w:sz="3" w:space="0" w:color="000000"/>
              <w:right w:val="single" w:sz="3" w:space="0" w:color="000000"/>
            </w:tcBorders>
          </w:tcPr>
          <w:p w:rsidR="0037596D" w:rsidRDefault="00904D3A">
            <w:pPr>
              <w:pStyle w:val="TableParagraph"/>
              <w:spacing w:before="13" w:line="266" w:lineRule="auto"/>
              <w:ind w:left="26" w:right="441"/>
              <w:jc w:val="left"/>
              <w:rPr>
                <w:sz w:val="19"/>
              </w:rPr>
            </w:pPr>
            <w:r>
              <w:rPr>
                <w:sz w:val="19"/>
              </w:rPr>
              <w:t>Field data collection of primary productivity</w:t>
            </w:r>
          </w:p>
        </w:tc>
        <w:tc>
          <w:tcPr>
            <w:tcW w:w="444" w:type="dxa"/>
            <w:tcBorders>
              <w:top w:val="nil"/>
              <w:left w:val="nil"/>
              <w:bottom w:val="nil"/>
              <w:right w:val="nil"/>
            </w:tcBorders>
            <w:shd w:val="clear" w:color="auto" w:fill="000000"/>
          </w:tcPr>
          <w:p w:rsidR="0037596D" w:rsidRDefault="0037596D"/>
        </w:tc>
        <w:tc>
          <w:tcPr>
            <w:tcW w:w="444" w:type="dxa"/>
            <w:tcBorders>
              <w:top w:val="nil"/>
              <w:left w:val="nil"/>
              <w:bottom w:val="nil"/>
              <w:right w:val="nil"/>
            </w:tcBorders>
            <w:shd w:val="clear" w:color="auto" w:fill="000000"/>
          </w:tcPr>
          <w:p w:rsidR="0037596D" w:rsidRDefault="0037596D"/>
        </w:tc>
        <w:tc>
          <w:tcPr>
            <w:tcW w:w="444" w:type="dxa"/>
            <w:tcBorders>
              <w:top w:val="single" w:sz="3" w:space="0" w:color="000000"/>
              <w:left w:val="single" w:sz="2" w:space="0" w:color="000000"/>
              <w:right w:val="single" w:sz="2" w:space="0" w:color="000000"/>
            </w:tcBorders>
          </w:tcPr>
          <w:p w:rsidR="0037596D" w:rsidRDefault="0037596D"/>
        </w:tc>
        <w:tc>
          <w:tcPr>
            <w:tcW w:w="444" w:type="dxa"/>
            <w:tcBorders>
              <w:top w:val="nil"/>
              <w:left w:val="nil"/>
              <w:bottom w:val="nil"/>
              <w:right w:val="nil"/>
            </w:tcBorders>
            <w:shd w:val="clear" w:color="auto" w:fill="000000"/>
          </w:tcPr>
          <w:p w:rsidR="0037596D" w:rsidRDefault="0037596D"/>
        </w:tc>
        <w:tc>
          <w:tcPr>
            <w:tcW w:w="444" w:type="dxa"/>
            <w:tcBorders>
              <w:top w:val="nil"/>
              <w:left w:val="nil"/>
              <w:bottom w:val="nil"/>
              <w:right w:val="nil"/>
            </w:tcBorders>
            <w:shd w:val="clear" w:color="auto" w:fill="000000"/>
          </w:tcPr>
          <w:p w:rsidR="0037596D" w:rsidRDefault="0037596D"/>
        </w:tc>
        <w:tc>
          <w:tcPr>
            <w:tcW w:w="443" w:type="dxa"/>
            <w:tcBorders>
              <w:top w:val="single" w:sz="3" w:space="0" w:color="000000"/>
              <w:left w:val="single" w:sz="2" w:space="0" w:color="000000"/>
            </w:tcBorders>
          </w:tcPr>
          <w:p w:rsidR="0037596D" w:rsidRDefault="0037596D"/>
        </w:tc>
        <w:tc>
          <w:tcPr>
            <w:tcW w:w="444" w:type="dxa"/>
            <w:tcBorders>
              <w:top w:val="single" w:sz="3" w:space="0" w:color="000000"/>
            </w:tcBorders>
          </w:tcPr>
          <w:p w:rsidR="0037596D" w:rsidRDefault="0037596D"/>
        </w:tc>
        <w:tc>
          <w:tcPr>
            <w:tcW w:w="444" w:type="dxa"/>
            <w:tcBorders>
              <w:top w:val="nil"/>
              <w:left w:val="nil"/>
              <w:bottom w:val="nil"/>
              <w:right w:val="nil"/>
            </w:tcBorders>
            <w:shd w:val="clear" w:color="auto" w:fill="000000"/>
          </w:tcPr>
          <w:p w:rsidR="0037596D" w:rsidRDefault="0037596D"/>
        </w:tc>
        <w:tc>
          <w:tcPr>
            <w:tcW w:w="443" w:type="dxa"/>
            <w:tcBorders>
              <w:top w:val="nil"/>
              <w:left w:val="nil"/>
              <w:bottom w:val="nil"/>
              <w:right w:val="nil"/>
            </w:tcBorders>
            <w:shd w:val="clear" w:color="auto" w:fill="000000"/>
          </w:tcPr>
          <w:p w:rsidR="0037596D" w:rsidRDefault="0037596D"/>
        </w:tc>
        <w:tc>
          <w:tcPr>
            <w:tcW w:w="444" w:type="dxa"/>
            <w:tcBorders>
              <w:top w:val="single" w:sz="3" w:space="0" w:color="000000"/>
              <w:left w:val="single" w:sz="3" w:space="0" w:color="000000"/>
              <w:right w:val="single" w:sz="3" w:space="0" w:color="000000"/>
            </w:tcBorders>
          </w:tcPr>
          <w:p w:rsidR="0037596D" w:rsidRDefault="0037596D"/>
        </w:tc>
        <w:tc>
          <w:tcPr>
            <w:tcW w:w="444" w:type="dxa"/>
            <w:tcBorders>
              <w:top w:val="single" w:sz="3" w:space="0" w:color="000000"/>
              <w:left w:val="single" w:sz="3" w:space="0" w:color="000000"/>
              <w:right w:val="single" w:sz="3" w:space="0" w:color="000000"/>
            </w:tcBorders>
          </w:tcPr>
          <w:p w:rsidR="0037596D" w:rsidRDefault="0037596D"/>
        </w:tc>
        <w:tc>
          <w:tcPr>
            <w:tcW w:w="444" w:type="dxa"/>
            <w:tcBorders>
              <w:top w:val="nil"/>
              <w:left w:val="nil"/>
              <w:bottom w:val="nil"/>
              <w:right w:val="nil"/>
            </w:tcBorders>
            <w:shd w:val="clear" w:color="auto" w:fill="000000"/>
          </w:tcPr>
          <w:p w:rsidR="0037596D" w:rsidRDefault="0037596D"/>
        </w:tc>
        <w:tc>
          <w:tcPr>
            <w:tcW w:w="444" w:type="dxa"/>
            <w:tcBorders>
              <w:top w:val="single" w:sz="3" w:space="0" w:color="000000"/>
              <w:left w:val="single" w:sz="3" w:space="0" w:color="000000"/>
              <w:right w:val="single" w:sz="3" w:space="0" w:color="000000"/>
            </w:tcBorders>
          </w:tcPr>
          <w:p w:rsidR="0037596D" w:rsidRDefault="0037596D"/>
        </w:tc>
        <w:tc>
          <w:tcPr>
            <w:tcW w:w="444" w:type="dxa"/>
            <w:tcBorders>
              <w:top w:val="nil"/>
              <w:left w:val="nil"/>
              <w:bottom w:val="nil"/>
              <w:right w:val="nil"/>
            </w:tcBorders>
            <w:shd w:val="clear" w:color="auto" w:fill="000000"/>
          </w:tcPr>
          <w:p w:rsidR="0037596D" w:rsidRDefault="0037596D"/>
        </w:tc>
        <w:tc>
          <w:tcPr>
            <w:tcW w:w="444" w:type="dxa"/>
            <w:tcBorders>
              <w:top w:val="nil"/>
              <w:left w:val="nil"/>
              <w:bottom w:val="nil"/>
              <w:right w:val="nil"/>
            </w:tcBorders>
            <w:shd w:val="clear" w:color="auto" w:fill="000000"/>
          </w:tcPr>
          <w:p w:rsidR="0037596D" w:rsidRDefault="0037596D"/>
        </w:tc>
        <w:tc>
          <w:tcPr>
            <w:tcW w:w="444" w:type="dxa"/>
            <w:tcBorders>
              <w:top w:val="single" w:sz="3" w:space="0" w:color="000000"/>
              <w:left w:val="single" w:sz="3" w:space="0" w:color="000000"/>
              <w:right w:val="single" w:sz="3" w:space="0" w:color="000000"/>
            </w:tcBorders>
          </w:tcPr>
          <w:p w:rsidR="0037596D" w:rsidRDefault="0037596D"/>
        </w:tc>
      </w:tr>
      <w:tr w:rsidR="0037596D">
        <w:trPr>
          <w:trHeight w:hRule="exact" w:val="485"/>
        </w:trPr>
        <w:tc>
          <w:tcPr>
            <w:tcW w:w="2251" w:type="dxa"/>
            <w:tcBorders>
              <w:bottom w:val="single" w:sz="2" w:space="0" w:color="000000"/>
              <w:right w:val="single" w:sz="3" w:space="0" w:color="000000"/>
            </w:tcBorders>
          </w:tcPr>
          <w:p w:rsidR="0037596D" w:rsidRDefault="00904D3A">
            <w:pPr>
              <w:pStyle w:val="TableParagraph"/>
              <w:spacing w:before="15" w:line="266" w:lineRule="auto"/>
              <w:ind w:left="26" w:right="83"/>
              <w:jc w:val="left"/>
              <w:rPr>
                <w:sz w:val="19"/>
              </w:rPr>
            </w:pPr>
            <w:r>
              <w:rPr>
                <w:sz w:val="19"/>
              </w:rPr>
              <w:t>Water sample collection for nutrients</w:t>
            </w:r>
          </w:p>
        </w:tc>
        <w:tc>
          <w:tcPr>
            <w:tcW w:w="444" w:type="dxa"/>
            <w:tcBorders>
              <w:top w:val="nil"/>
              <w:left w:val="nil"/>
              <w:bottom w:val="nil"/>
              <w:right w:val="nil"/>
            </w:tcBorders>
            <w:shd w:val="clear" w:color="auto" w:fill="000000"/>
          </w:tcPr>
          <w:p w:rsidR="0037596D" w:rsidRDefault="0037596D"/>
        </w:tc>
        <w:tc>
          <w:tcPr>
            <w:tcW w:w="444" w:type="dxa"/>
            <w:tcBorders>
              <w:top w:val="nil"/>
              <w:left w:val="nil"/>
              <w:bottom w:val="nil"/>
              <w:right w:val="nil"/>
            </w:tcBorders>
            <w:shd w:val="clear" w:color="auto" w:fill="000000"/>
          </w:tcPr>
          <w:p w:rsidR="0037596D" w:rsidRDefault="0037596D"/>
        </w:tc>
        <w:tc>
          <w:tcPr>
            <w:tcW w:w="444" w:type="dxa"/>
            <w:tcBorders>
              <w:left w:val="single" w:sz="2" w:space="0" w:color="000000"/>
              <w:bottom w:val="single" w:sz="2" w:space="0" w:color="000000"/>
              <w:right w:val="single" w:sz="2" w:space="0" w:color="000000"/>
            </w:tcBorders>
          </w:tcPr>
          <w:p w:rsidR="0037596D" w:rsidRDefault="0037596D"/>
        </w:tc>
        <w:tc>
          <w:tcPr>
            <w:tcW w:w="444" w:type="dxa"/>
            <w:tcBorders>
              <w:top w:val="nil"/>
              <w:left w:val="nil"/>
              <w:bottom w:val="nil"/>
              <w:right w:val="nil"/>
            </w:tcBorders>
            <w:shd w:val="clear" w:color="auto" w:fill="000000"/>
          </w:tcPr>
          <w:p w:rsidR="0037596D" w:rsidRDefault="0037596D"/>
        </w:tc>
        <w:tc>
          <w:tcPr>
            <w:tcW w:w="444" w:type="dxa"/>
            <w:tcBorders>
              <w:top w:val="nil"/>
              <w:left w:val="nil"/>
              <w:bottom w:val="nil"/>
              <w:right w:val="nil"/>
            </w:tcBorders>
            <w:shd w:val="clear" w:color="auto" w:fill="000000"/>
          </w:tcPr>
          <w:p w:rsidR="0037596D" w:rsidRDefault="0037596D"/>
        </w:tc>
        <w:tc>
          <w:tcPr>
            <w:tcW w:w="443" w:type="dxa"/>
            <w:tcBorders>
              <w:left w:val="single" w:sz="2" w:space="0" w:color="000000"/>
              <w:bottom w:val="single" w:sz="2" w:space="0" w:color="000000"/>
            </w:tcBorders>
          </w:tcPr>
          <w:p w:rsidR="0037596D" w:rsidRDefault="0037596D"/>
        </w:tc>
        <w:tc>
          <w:tcPr>
            <w:tcW w:w="444" w:type="dxa"/>
            <w:tcBorders>
              <w:bottom w:val="single" w:sz="2" w:space="0" w:color="000000"/>
            </w:tcBorders>
          </w:tcPr>
          <w:p w:rsidR="0037596D" w:rsidRDefault="0037596D"/>
        </w:tc>
        <w:tc>
          <w:tcPr>
            <w:tcW w:w="444" w:type="dxa"/>
            <w:tcBorders>
              <w:top w:val="nil"/>
              <w:left w:val="nil"/>
              <w:bottom w:val="nil"/>
              <w:right w:val="nil"/>
            </w:tcBorders>
            <w:shd w:val="clear" w:color="auto" w:fill="000000"/>
          </w:tcPr>
          <w:p w:rsidR="0037596D" w:rsidRDefault="0037596D"/>
        </w:tc>
        <w:tc>
          <w:tcPr>
            <w:tcW w:w="443" w:type="dxa"/>
            <w:tcBorders>
              <w:top w:val="nil"/>
              <w:left w:val="nil"/>
              <w:bottom w:val="nil"/>
              <w:right w:val="nil"/>
            </w:tcBorders>
            <w:shd w:val="clear" w:color="auto" w:fill="000000"/>
          </w:tcPr>
          <w:p w:rsidR="0037596D" w:rsidRDefault="0037596D"/>
        </w:tc>
        <w:tc>
          <w:tcPr>
            <w:tcW w:w="444" w:type="dxa"/>
            <w:tcBorders>
              <w:left w:val="single" w:sz="3" w:space="0" w:color="000000"/>
              <w:bottom w:val="single" w:sz="2" w:space="0" w:color="000000"/>
              <w:right w:val="single" w:sz="3" w:space="0" w:color="000000"/>
            </w:tcBorders>
          </w:tcPr>
          <w:p w:rsidR="0037596D" w:rsidRDefault="0037596D"/>
        </w:tc>
        <w:tc>
          <w:tcPr>
            <w:tcW w:w="444" w:type="dxa"/>
            <w:tcBorders>
              <w:left w:val="single" w:sz="3" w:space="0" w:color="000000"/>
              <w:bottom w:val="single" w:sz="2" w:space="0" w:color="000000"/>
              <w:right w:val="single" w:sz="3" w:space="0" w:color="000000"/>
            </w:tcBorders>
          </w:tcPr>
          <w:p w:rsidR="0037596D" w:rsidRDefault="0037596D"/>
        </w:tc>
        <w:tc>
          <w:tcPr>
            <w:tcW w:w="444" w:type="dxa"/>
            <w:tcBorders>
              <w:top w:val="nil"/>
              <w:left w:val="nil"/>
              <w:bottom w:val="nil"/>
              <w:right w:val="nil"/>
            </w:tcBorders>
            <w:shd w:val="clear" w:color="auto" w:fill="000000"/>
          </w:tcPr>
          <w:p w:rsidR="0037596D" w:rsidRDefault="0037596D"/>
        </w:tc>
        <w:tc>
          <w:tcPr>
            <w:tcW w:w="444" w:type="dxa"/>
            <w:tcBorders>
              <w:left w:val="single" w:sz="3" w:space="0" w:color="000000"/>
              <w:bottom w:val="single" w:sz="2" w:space="0" w:color="000000"/>
              <w:right w:val="single" w:sz="3" w:space="0" w:color="000000"/>
            </w:tcBorders>
          </w:tcPr>
          <w:p w:rsidR="0037596D" w:rsidRDefault="0037596D"/>
        </w:tc>
        <w:tc>
          <w:tcPr>
            <w:tcW w:w="444" w:type="dxa"/>
            <w:tcBorders>
              <w:top w:val="nil"/>
              <w:left w:val="nil"/>
              <w:bottom w:val="nil"/>
              <w:right w:val="nil"/>
            </w:tcBorders>
            <w:shd w:val="clear" w:color="auto" w:fill="000000"/>
          </w:tcPr>
          <w:p w:rsidR="0037596D" w:rsidRDefault="0037596D"/>
        </w:tc>
        <w:tc>
          <w:tcPr>
            <w:tcW w:w="444" w:type="dxa"/>
            <w:tcBorders>
              <w:top w:val="nil"/>
              <w:left w:val="nil"/>
              <w:bottom w:val="nil"/>
              <w:right w:val="nil"/>
            </w:tcBorders>
            <w:shd w:val="clear" w:color="auto" w:fill="000000"/>
          </w:tcPr>
          <w:p w:rsidR="0037596D" w:rsidRDefault="0037596D"/>
        </w:tc>
        <w:tc>
          <w:tcPr>
            <w:tcW w:w="444" w:type="dxa"/>
            <w:tcBorders>
              <w:left w:val="single" w:sz="3" w:space="0" w:color="000000"/>
              <w:bottom w:val="single" w:sz="2" w:space="0" w:color="000000"/>
              <w:right w:val="single" w:sz="3" w:space="0" w:color="000000"/>
            </w:tcBorders>
          </w:tcPr>
          <w:p w:rsidR="0037596D" w:rsidRDefault="0037596D"/>
        </w:tc>
      </w:tr>
      <w:tr w:rsidR="0037596D">
        <w:trPr>
          <w:trHeight w:hRule="exact" w:val="485"/>
        </w:trPr>
        <w:tc>
          <w:tcPr>
            <w:tcW w:w="2251" w:type="dxa"/>
            <w:tcBorders>
              <w:top w:val="single" w:sz="2" w:space="0" w:color="000000"/>
              <w:bottom w:val="single" w:sz="3" w:space="0" w:color="000000"/>
              <w:right w:val="single" w:sz="3" w:space="0" w:color="000000"/>
            </w:tcBorders>
          </w:tcPr>
          <w:p w:rsidR="0037596D" w:rsidRDefault="00904D3A">
            <w:pPr>
              <w:pStyle w:val="TableParagraph"/>
              <w:spacing w:before="13" w:line="266" w:lineRule="auto"/>
              <w:ind w:left="26" w:right="72"/>
              <w:jc w:val="left"/>
              <w:rPr>
                <w:sz w:val="19"/>
              </w:rPr>
            </w:pPr>
            <w:r>
              <w:rPr>
                <w:sz w:val="19"/>
              </w:rPr>
              <w:t>Laboratory analysis of algal samples</w:t>
            </w:r>
          </w:p>
        </w:tc>
        <w:tc>
          <w:tcPr>
            <w:tcW w:w="444" w:type="dxa"/>
            <w:tcBorders>
              <w:top w:val="single" w:sz="2" w:space="0" w:color="000000"/>
              <w:left w:val="single" w:sz="3" w:space="0" w:color="000000"/>
              <w:bottom w:val="single" w:sz="3" w:space="0" w:color="000000"/>
              <w:right w:val="single" w:sz="2" w:space="0" w:color="000000"/>
            </w:tcBorders>
          </w:tcPr>
          <w:p w:rsidR="0037596D" w:rsidRDefault="0037596D"/>
        </w:tc>
        <w:tc>
          <w:tcPr>
            <w:tcW w:w="444" w:type="dxa"/>
            <w:tcBorders>
              <w:top w:val="nil"/>
              <w:left w:val="nil"/>
              <w:bottom w:val="nil"/>
              <w:right w:val="nil"/>
            </w:tcBorders>
            <w:shd w:val="clear" w:color="auto" w:fill="000000"/>
          </w:tcPr>
          <w:p w:rsidR="0037596D" w:rsidRDefault="0037596D"/>
        </w:tc>
        <w:tc>
          <w:tcPr>
            <w:tcW w:w="444" w:type="dxa"/>
            <w:tcBorders>
              <w:top w:val="nil"/>
              <w:left w:val="nil"/>
              <w:bottom w:val="nil"/>
              <w:right w:val="nil"/>
            </w:tcBorders>
            <w:shd w:val="clear" w:color="auto" w:fill="000000"/>
          </w:tcPr>
          <w:p w:rsidR="0037596D" w:rsidRDefault="0037596D"/>
        </w:tc>
        <w:tc>
          <w:tcPr>
            <w:tcW w:w="444" w:type="dxa"/>
            <w:tcBorders>
              <w:top w:val="single" w:sz="2" w:space="0" w:color="000000"/>
              <w:left w:val="single" w:sz="2" w:space="0" w:color="000000"/>
              <w:bottom w:val="single" w:sz="3" w:space="0" w:color="000000"/>
              <w:right w:val="single" w:sz="2" w:space="0" w:color="000000"/>
            </w:tcBorders>
          </w:tcPr>
          <w:p w:rsidR="0037596D" w:rsidRDefault="0037596D"/>
        </w:tc>
        <w:tc>
          <w:tcPr>
            <w:tcW w:w="444" w:type="dxa"/>
            <w:tcBorders>
              <w:top w:val="single" w:sz="2" w:space="0" w:color="000000"/>
              <w:left w:val="single" w:sz="2" w:space="0" w:color="000000"/>
              <w:bottom w:val="single" w:sz="3" w:space="0" w:color="000000"/>
              <w:right w:val="single" w:sz="2" w:space="0" w:color="000000"/>
            </w:tcBorders>
          </w:tcPr>
          <w:p w:rsidR="0037596D" w:rsidRDefault="0037596D"/>
        </w:tc>
        <w:tc>
          <w:tcPr>
            <w:tcW w:w="443" w:type="dxa"/>
            <w:tcBorders>
              <w:top w:val="nil"/>
              <w:left w:val="nil"/>
              <w:bottom w:val="nil"/>
              <w:right w:val="nil"/>
            </w:tcBorders>
            <w:shd w:val="clear" w:color="auto" w:fill="000000"/>
          </w:tcPr>
          <w:p w:rsidR="0037596D" w:rsidRDefault="0037596D"/>
        </w:tc>
        <w:tc>
          <w:tcPr>
            <w:tcW w:w="444" w:type="dxa"/>
            <w:tcBorders>
              <w:top w:val="nil"/>
              <w:left w:val="nil"/>
              <w:bottom w:val="nil"/>
              <w:right w:val="nil"/>
            </w:tcBorders>
            <w:shd w:val="clear" w:color="auto" w:fill="000000"/>
          </w:tcPr>
          <w:p w:rsidR="0037596D" w:rsidRDefault="0037596D"/>
        </w:tc>
        <w:tc>
          <w:tcPr>
            <w:tcW w:w="444" w:type="dxa"/>
            <w:tcBorders>
              <w:top w:val="single" w:sz="2" w:space="0" w:color="000000"/>
              <w:bottom w:val="single" w:sz="3" w:space="0" w:color="000000"/>
            </w:tcBorders>
          </w:tcPr>
          <w:p w:rsidR="0037596D" w:rsidRDefault="0037596D"/>
        </w:tc>
        <w:tc>
          <w:tcPr>
            <w:tcW w:w="443" w:type="dxa"/>
            <w:tcBorders>
              <w:top w:val="single" w:sz="2" w:space="0" w:color="000000"/>
              <w:bottom w:val="single" w:sz="3" w:space="0" w:color="000000"/>
              <w:right w:val="single" w:sz="3" w:space="0" w:color="000000"/>
            </w:tcBorders>
          </w:tcPr>
          <w:p w:rsidR="0037596D" w:rsidRDefault="0037596D"/>
        </w:tc>
        <w:tc>
          <w:tcPr>
            <w:tcW w:w="444" w:type="dxa"/>
            <w:tcBorders>
              <w:top w:val="nil"/>
              <w:left w:val="nil"/>
              <w:bottom w:val="nil"/>
              <w:right w:val="nil"/>
            </w:tcBorders>
            <w:shd w:val="clear" w:color="auto" w:fill="000000"/>
          </w:tcPr>
          <w:p w:rsidR="0037596D" w:rsidRDefault="0037596D"/>
        </w:tc>
        <w:tc>
          <w:tcPr>
            <w:tcW w:w="444" w:type="dxa"/>
            <w:tcBorders>
              <w:top w:val="nil"/>
              <w:left w:val="nil"/>
              <w:bottom w:val="nil"/>
              <w:right w:val="nil"/>
            </w:tcBorders>
            <w:shd w:val="clear" w:color="auto" w:fill="000000"/>
          </w:tcPr>
          <w:p w:rsidR="0037596D" w:rsidRDefault="0037596D"/>
        </w:tc>
        <w:tc>
          <w:tcPr>
            <w:tcW w:w="444" w:type="dxa"/>
            <w:tcBorders>
              <w:top w:val="single" w:sz="2" w:space="0" w:color="000000"/>
              <w:left w:val="single" w:sz="3" w:space="0" w:color="000000"/>
              <w:bottom w:val="single" w:sz="3" w:space="0" w:color="000000"/>
              <w:right w:val="single" w:sz="3" w:space="0" w:color="000000"/>
            </w:tcBorders>
          </w:tcPr>
          <w:p w:rsidR="0037596D" w:rsidRDefault="0037596D"/>
        </w:tc>
        <w:tc>
          <w:tcPr>
            <w:tcW w:w="444" w:type="dxa"/>
            <w:tcBorders>
              <w:top w:val="nil"/>
              <w:left w:val="nil"/>
              <w:bottom w:val="nil"/>
              <w:right w:val="nil"/>
            </w:tcBorders>
            <w:shd w:val="clear" w:color="auto" w:fill="000000"/>
          </w:tcPr>
          <w:p w:rsidR="0037596D" w:rsidRDefault="0037596D"/>
        </w:tc>
        <w:tc>
          <w:tcPr>
            <w:tcW w:w="444" w:type="dxa"/>
            <w:tcBorders>
              <w:top w:val="nil"/>
              <w:left w:val="nil"/>
              <w:bottom w:val="nil"/>
              <w:right w:val="nil"/>
            </w:tcBorders>
            <w:shd w:val="clear" w:color="auto" w:fill="000000"/>
          </w:tcPr>
          <w:p w:rsidR="0037596D" w:rsidRDefault="0037596D"/>
        </w:tc>
        <w:tc>
          <w:tcPr>
            <w:tcW w:w="444" w:type="dxa"/>
            <w:tcBorders>
              <w:top w:val="nil"/>
              <w:left w:val="nil"/>
              <w:bottom w:val="nil"/>
              <w:right w:val="nil"/>
            </w:tcBorders>
            <w:shd w:val="clear" w:color="auto" w:fill="000000"/>
          </w:tcPr>
          <w:p w:rsidR="0037596D" w:rsidRDefault="0037596D"/>
        </w:tc>
        <w:tc>
          <w:tcPr>
            <w:tcW w:w="444" w:type="dxa"/>
            <w:tcBorders>
              <w:top w:val="nil"/>
              <w:left w:val="nil"/>
              <w:bottom w:val="nil"/>
              <w:right w:val="nil"/>
            </w:tcBorders>
            <w:shd w:val="clear" w:color="auto" w:fill="000000"/>
          </w:tcPr>
          <w:p w:rsidR="0037596D" w:rsidRDefault="0037596D"/>
        </w:tc>
      </w:tr>
      <w:tr w:rsidR="0037596D">
        <w:trPr>
          <w:trHeight w:hRule="exact" w:val="485"/>
        </w:trPr>
        <w:tc>
          <w:tcPr>
            <w:tcW w:w="2251" w:type="dxa"/>
            <w:tcBorders>
              <w:top w:val="single" w:sz="3" w:space="0" w:color="000000"/>
              <w:right w:val="single" w:sz="3" w:space="0" w:color="000000"/>
            </w:tcBorders>
          </w:tcPr>
          <w:p w:rsidR="0037596D" w:rsidRDefault="00904D3A">
            <w:pPr>
              <w:pStyle w:val="TableParagraph"/>
              <w:spacing w:before="13" w:line="266" w:lineRule="auto"/>
              <w:ind w:left="26"/>
              <w:jc w:val="left"/>
              <w:rPr>
                <w:sz w:val="19"/>
              </w:rPr>
            </w:pPr>
            <w:r>
              <w:rPr>
                <w:sz w:val="19"/>
              </w:rPr>
              <w:t>Temperature, DO and PAR data collection</w:t>
            </w:r>
          </w:p>
        </w:tc>
        <w:tc>
          <w:tcPr>
            <w:tcW w:w="444" w:type="dxa"/>
            <w:tcBorders>
              <w:top w:val="nil"/>
              <w:left w:val="nil"/>
              <w:bottom w:val="nil"/>
              <w:right w:val="nil"/>
            </w:tcBorders>
            <w:shd w:val="clear" w:color="auto" w:fill="000000"/>
          </w:tcPr>
          <w:p w:rsidR="0037596D" w:rsidRDefault="0037596D"/>
        </w:tc>
        <w:tc>
          <w:tcPr>
            <w:tcW w:w="444" w:type="dxa"/>
            <w:tcBorders>
              <w:top w:val="nil"/>
              <w:left w:val="nil"/>
              <w:bottom w:val="nil"/>
              <w:right w:val="nil"/>
            </w:tcBorders>
            <w:shd w:val="clear" w:color="auto" w:fill="000000"/>
          </w:tcPr>
          <w:p w:rsidR="0037596D" w:rsidRDefault="0037596D"/>
        </w:tc>
        <w:tc>
          <w:tcPr>
            <w:tcW w:w="444" w:type="dxa"/>
            <w:tcBorders>
              <w:top w:val="nil"/>
              <w:left w:val="nil"/>
              <w:bottom w:val="nil"/>
              <w:right w:val="nil"/>
            </w:tcBorders>
            <w:shd w:val="clear" w:color="auto" w:fill="000000"/>
          </w:tcPr>
          <w:p w:rsidR="0037596D" w:rsidRDefault="0037596D"/>
        </w:tc>
        <w:tc>
          <w:tcPr>
            <w:tcW w:w="444" w:type="dxa"/>
            <w:tcBorders>
              <w:top w:val="nil"/>
              <w:left w:val="nil"/>
              <w:bottom w:val="nil"/>
              <w:right w:val="nil"/>
            </w:tcBorders>
            <w:shd w:val="clear" w:color="auto" w:fill="000000"/>
          </w:tcPr>
          <w:p w:rsidR="0037596D" w:rsidRDefault="0037596D"/>
        </w:tc>
        <w:tc>
          <w:tcPr>
            <w:tcW w:w="444" w:type="dxa"/>
            <w:tcBorders>
              <w:top w:val="nil"/>
              <w:left w:val="nil"/>
              <w:bottom w:val="nil"/>
              <w:right w:val="nil"/>
            </w:tcBorders>
            <w:shd w:val="clear" w:color="auto" w:fill="000000"/>
          </w:tcPr>
          <w:p w:rsidR="0037596D" w:rsidRDefault="0037596D"/>
        </w:tc>
        <w:tc>
          <w:tcPr>
            <w:tcW w:w="443" w:type="dxa"/>
            <w:tcBorders>
              <w:top w:val="nil"/>
              <w:left w:val="nil"/>
              <w:bottom w:val="nil"/>
              <w:right w:val="nil"/>
            </w:tcBorders>
            <w:shd w:val="clear" w:color="auto" w:fill="000000"/>
          </w:tcPr>
          <w:p w:rsidR="0037596D" w:rsidRDefault="0037596D"/>
        </w:tc>
        <w:tc>
          <w:tcPr>
            <w:tcW w:w="444" w:type="dxa"/>
            <w:tcBorders>
              <w:top w:val="nil"/>
              <w:left w:val="nil"/>
              <w:bottom w:val="nil"/>
              <w:right w:val="nil"/>
            </w:tcBorders>
            <w:shd w:val="clear" w:color="auto" w:fill="000000"/>
          </w:tcPr>
          <w:p w:rsidR="0037596D" w:rsidRDefault="0037596D"/>
        </w:tc>
        <w:tc>
          <w:tcPr>
            <w:tcW w:w="444" w:type="dxa"/>
            <w:tcBorders>
              <w:top w:val="nil"/>
              <w:left w:val="nil"/>
              <w:bottom w:val="nil"/>
              <w:right w:val="nil"/>
            </w:tcBorders>
            <w:shd w:val="clear" w:color="auto" w:fill="000000"/>
          </w:tcPr>
          <w:p w:rsidR="0037596D" w:rsidRDefault="0037596D"/>
        </w:tc>
        <w:tc>
          <w:tcPr>
            <w:tcW w:w="443" w:type="dxa"/>
            <w:tcBorders>
              <w:top w:val="nil"/>
              <w:left w:val="nil"/>
              <w:bottom w:val="nil"/>
              <w:right w:val="nil"/>
            </w:tcBorders>
            <w:shd w:val="clear" w:color="auto" w:fill="000000"/>
          </w:tcPr>
          <w:p w:rsidR="0037596D" w:rsidRDefault="0037596D"/>
        </w:tc>
        <w:tc>
          <w:tcPr>
            <w:tcW w:w="444" w:type="dxa"/>
            <w:tcBorders>
              <w:top w:val="nil"/>
              <w:left w:val="nil"/>
              <w:bottom w:val="nil"/>
              <w:right w:val="nil"/>
            </w:tcBorders>
            <w:shd w:val="clear" w:color="auto" w:fill="000000"/>
          </w:tcPr>
          <w:p w:rsidR="0037596D" w:rsidRDefault="0037596D"/>
        </w:tc>
        <w:tc>
          <w:tcPr>
            <w:tcW w:w="444" w:type="dxa"/>
            <w:tcBorders>
              <w:top w:val="nil"/>
              <w:left w:val="nil"/>
              <w:bottom w:val="nil"/>
              <w:right w:val="nil"/>
            </w:tcBorders>
            <w:shd w:val="clear" w:color="auto" w:fill="000000"/>
          </w:tcPr>
          <w:p w:rsidR="0037596D" w:rsidRDefault="0037596D"/>
        </w:tc>
        <w:tc>
          <w:tcPr>
            <w:tcW w:w="444" w:type="dxa"/>
            <w:tcBorders>
              <w:top w:val="nil"/>
              <w:left w:val="nil"/>
              <w:bottom w:val="nil"/>
              <w:right w:val="nil"/>
            </w:tcBorders>
            <w:shd w:val="clear" w:color="auto" w:fill="000000"/>
          </w:tcPr>
          <w:p w:rsidR="0037596D" w:rsidRDefault="0037596D"/>
        </w:tc>
        <w:tc>
          <w:tcPr>
            <w:tcW w:w="444" w:type="dxa"/>
            <w:tcBorders>
              <w:top w:val="single" w:sz="3" w:space="0" w:color="000000"/>
              <w:left w:val="single" w:sz="3" w:space="0" w:color="000000"/>
              <w:right w:val="single" w:sz="3" w:space="0" w:color="000000"/>
            </w:tcBorders>
          </w:tcPr>
          <w:p w:rsidR="0037596D" w:rsidRDefault="0037596D"/>
        </w:tc>
        <w:tc>
          <w:tcPr>
            <w:tcW w:w="444" w:type="dxa"/>
            <w:tcBorders>
              <w:top w:val="nil"/>
              <w:left w:val="nil"/>
              <w:bottom w:val="nil"/>
              <w:right w:val="nil"/>
            </w:tcBorders>
            <w:shd w:val="clear" w:color="auto" w:fill="000000"/>
          </w:tcPr>
          <w:p w:rsidR="0037596D" w:rsidRDefault="0037596D"/>
        </w:tc>
        <w:tc>
          <w:tcPr>
            <w:tcW w:w="444" w:type="dxa"/>
            <w:tcBorders>
              <w:top w:val="nil"/>
              <w:left w:val="nil"/>
              <w:bottom w:val="nil"/>
              <w:right w:val="nil"/>
            </w:tcBorders>
            <w:shd w:val="clear" w:color="auto" w:fill="000000"/>
          </w:tcPr>
          <w:p w:rsidR="0037596D" w:rsidRDefault="0037596D"/>
        </w:tc>
        <w:tc>
          <w:tcPr>
            <w:tcW w:w="444" w:type="dxa"/>
            <w:tcBorders>
              <w:top w:val="nil"/>
              <w:left w:val="nil"/>
              <w:bottom w:val="nil"/>
              <w:right w:val="nil"/>
            </w:tcBorders>
            <w:shd w:val="clear" w:color="auto" w:fill="000000"/>
          </w:tcPr>
          <w:p w:rsidR="0037596D" w:rsidRDefault="0037596D"/>
        </w:tc>
      </w:tr>
      <w:tr w:rsidR="0037596D">
        <w:trPr>
          <w:trHeight w:hRule="exact" w:val="485"/>
        </w:trPr>
        <w:tc>
          <w:tcPr>
            <w:tcW w:w="2251" w:type="dxa"/>
            <w:tcBorders>
              <w:bottom w:val="single" w:sz="2" w:space="0" w:color="000000"/>
              <w:right w:val="single" w:sz="3" w:space="0" w:color="000000"/>
            </w:tcBorders>
          </w:tcPr>
          <w:p w:rsidR="0037596D" w:rsidRDefault="00904D3A">
            <w:pPr>
              <w:pStyle w:val="TableParagraph"/>
              <w:spacing w:before="15" w:line="266" w:lineRule="auto"/>
              <w:ind w:left="26"/>
              <w:jc w:val="left"/>
              <w:rPr>
                <w:sz w:val="19"/>
              </w:rPr>
            </w:pPr>
            <w:r>
              <w:rPr>
                <w:sz w:val="19"/>
              </w:rPr>
              <w:t>Stream metabolims modelling</w:t>
            </w:r>
          </w:p>
        </w:tc>
        <w:tc>
          <w:tcPr>
            <w:tcW w:w="444" w:type="dxa"/>
            <w:tcBorders>
              <w:left w:val="single" w:sz="3" w:space="0" w:color="000000"/>
              <w:bottom w:val="single" w:sz="2" w:space="0" w:color="000000"/>
              <w:right w:val="single" w:sz="2" w:space="0" w:color="000000"/>
            </w:tcBorders>
          </w:tcPr>
          <w:p w:rsidR="0037596D" w:rsidRDefault="0037596D"/>
        </w:tc>
        <w:tc>
          <w:tcPr>
            <w:tcW w:w="444" w:type="dxa"/>
            <w:tcBorders>
              <w:left w:val="single" w:sz="2" w:space="0" w:color="000000"/>
              <w:bottom w:val="single" w:sz="2" w:space="0" w:color="000000"/>
              <w:right w:val="single" w:sz="2" w:space="0" w:color="000000"/>
            </w:tcBorders>
          </w:tcPr>
          <w:p w:rsidR="0037596D" w:rsidRDefault="0037596D"/>
        </w:tc>
        <w:tc>
          <w:tcPr>
            <w:tcW w:w="444" w:type="dxa"/>
            <w:tcBorders>
              <w:left w:val="single" w:sz="2" w:space="0" w:color="000000"/>
              <w:bottom w:val="single" w:sz="2" w:space="0" w:color="000000"/>
              <w:right w:val="single" w:sz="2" w:space="0" w:color="000000"/>
            </w:tcBorders>
          </w:tcPr>
          <w:p w:rsidR="0037596D" w:rsidRDefault="0037596D"/>
        </w:tc>
        <w:tc>
          <w:tcPr>
            <w:tcW w:w="444" w:type="dxa"/>
            <w:tcBorders>
              <w:left w:val="single" w:sz="2" w:space="0" w:color="000000"/>
              <w:bottom w:val="single" w:sz="2" w:space="0" w:color="000000"/>
              <w:right w:val="single" w:sz="2" w:space="0" w:color="000000"/>
            </w:tcBorders>
          </w:tcPr>
          <w:p w:rsidR="0037596D" w:rsidRDefault="0037596D"/>
        </w:tc>
        <w:tc>
          <w:tcPr>
            <w:tcW w:w="444" w:type="dxa"/>
            <w:tcBorders>
              <w:left w:val="single" w:sz="2" w:space="0" w:color="000000"/>
              <w:bottom w:val="single" w:sz="2" w:space="0" w:color="000000"/>
              <w:right w:val="single" w:sz="2" w:space="0" w:color="000000"/>
            </w:tcBorders>
          </w:tcPr>
          <w:p w:rsidR="0037596D" w:rsidRDefault="0037596D"/>
        </w:tc>
        <w:tc>
          <w:tcPr>
            <w:tcW w:w="443" w:type="dxa"/>
            <w:tcBorders>
              <w:top w:val="nil"/>
              <w:left w:val="nil"/>
              <w:bottom w:val="nil"/>
              <w:right w:val="nil"/>
            </w:tcBorders>
            <w:shd w:val="clear" w:color="auto" w:fill="000000"/>
          </w:tcPr>
          <w:p w:rsidR="0037596D" w:rsidRDefault="0037596D"/>
        </w:tc>
        <w:tc>
          <w:tcPr>
            <w:tcW w:w="444" w:type="dxa"/>
            <w:tcBorders>
              <w:top w:val="nil"/>
              <w:left w:val="nil"/>
              <w:bottom w:val="nil"/>
              <w:right w:val="nil"/>
            </w:tcBorders>
            <w:shd w:val="clear" w:color="auto" w:fill="000000"/>
          </w:tcPr>
          <w:p w:rsidR="0037596D" w:rsidRDefault="0037596D"/>
        </w:tc>
        <w:tc>
          <w:tcPr>
            <w:tcW w:w="444" w:type="dxa"/>
            <w:tcBorders>
              <w:top w:val="nil"/>
              <w:left w:val="nil"/>
              <w:bottom w:val="nil"/>
              <w:right w:val="nil"/>
            </w:tcBorders>
            <w:shd w:val="clear" w:color="auto" w:fill="000000"/>
          </w:tcPr>
          <w:p w:rsidR="0037596D" w:rsidRDefault="0037596D"/>
        </w:tc>
        <w:tc>
          <w:tcPr>
            <w:tcW w:w="443" w:type="dxa"/>
            <w:tcBorders>
              <w:top w:val="nil"/>
              <w:left w:val="nil"/>
              <w:bottom w:val="nil"/>
              <w:right w:val="nil"/>
            </w:tcBorders>
            <w:shd w:val="clear" w:color="auto" w:fill="000000"/>
          </w:tcPr>
          <w:p w:rsidR="0037596D" w:rsidRDefault="0037596D"/>
        </w:tc>
        <w:tc>
          <w:tcPr>
            <w:tcW w:w="444" w:type="dxa"/>
            <w:tcBorders>
              <w:top w:val="nil"/>
              <w:left w:val="nil"/>
              <w:bottom w:val="nil"/>
              <w:right w:val="nil"/>
            </w:tcBorders>
            <w:shd w:val="clear" w:color="auto" w:fill="000000"/>
          </w:tcPr>
          <w:p w:rsidR="0037596D" w:rsidRDefault="0037596D"/>
        </w:tc>
        <w:tc>
          <w:tcPr>
            <w:tcW w:w="444" w:type="dxa"/>
            <w:tcBorders>
              <w:top w:val="nil"/>
              <w:left w:val="nil"/>
              <w:bottom w:val="nil"/>
              <w:right w:val="nil"/>
            </w:tcBorders>
            <w:shd w:val="clear" w:color="auto" w:fill="000000"/>
          </w:tcPr>
          <w:p w:rsidR="0037596D" w:rsidRDefault="0037596D"/>
        </w:tc>
        <w:tc>
          <w:tcPr>
            <w:tcW w:w="444" w:type="dxa"/>
            <w:tcBorders>
              <w:top w:val="nil"/>
              <w:left w:val="nil"/>
              <w:bottom w:val="nil"/>
              <w:right w:val="nil"/>
            </w:tcBorders>
            <w:shd w:val="clear" w:color="auto" w:fill="000000"/>
          </w:tcPr>
          <w:p w:rsidR="0037596D" w:rsidRDefault="0037596D"/>
        </w:tc>
        <w:tc>
          <w:tcPr>
            <w:tcW w:w="444" w:type="dxa"/>
            <w:tcBorders>
              <w:top w:val="nil"/>
              <w:left w:val="nil"/>
              <w:bottom w:val="nil"/>
              <w:right w:val="nil"/>
            </w:tcBorders>
            <w:shd w:val="clear" w:color="auto" w:fill="000000"/>
          </w:tcPr>
          <w:p w:rsidR="0037596D" w:rsidRDefault="0037596D"/>
        </w:tc>
        <w:tc>
          <w:tcPr>
            <w:tcW w:w="444" w:type="dxa"/>
            <w:tcBorders>
              <w:top w:val="nil"/>
              <w:left w:val="nil"/>
              <w:bottom w:val="nil"/>
              <w:right w:val="nil"/>
            </w:tcBorders>
            <w:shd w:val="clear" w:color="auto" w:fill="000000"/>
          </w:tcPr>
          <w:p w:rsidR="0037596D" w:rsidRDefault="0037596D"/>
        </w:tc>
        <w:tc>
          <w:tcPr>
            <w:tcW w:w="444" w:type="dxa"/>
            <w:tcBorders>
              <w:top w:val="nil"/>
              <w:left w:val="nil"/>
              <w:bottom w:val="nil"/>
              <w:right w:val="nil"/>
            </w:tcBorders>
            <w:shd w:val="clear" w:color="auto" w:fill="000000"/>
          </w:tcPr>
          <w:p w:rsidR="0037596D" w:rsidRDefault="0037596D"/>
        </w:tc>
        <w:tc>
          <w:tcPr>
            <w:tcW w:w="444" w:type="dxa"/>
            <w:tcBorders>
              <w:left w:val="single" w:sz="3" w:space="0" w:color="000000"/>
              <w:bottom w:val="single" w:sz="2" w:space="0" w:color="000000"/>
              <w:right w:val="single" w:sz="3" w:space="0" w:color="000000"/>
            </w:tcBorders>
          </w:tcPr>
          <w:p w:rsidR="0037596D" w:rsidRDefault="0037596D"/>
        </w:tc>
      </w:tr>
      <w:tr w:rsidR="0037596D">
        <w:trPr>
          <w:trHeight w:hRule="exact" w:val="485"/>
        </w:trPr>
        <w:tc>
          <w:tcPr>
            <w:tcW w:w="2251" w:type="dxa"/>
            <w:tcBorders>
              <w:top w:val="single" w:sz="2" w:space="0" w:color="000000"/>
              <w:bottom w:val="single" w:sz="3" w:space="0" w:color="000000"/>
              <w:right w:val="single" w:sz="3" w:space="0" w:color="000000"/>
            </w:tcBorders>
          </w:tcPr>
          <w:p w:rsidR="0037596D" w:rsidRDefault="00904D3A">
            <w:pPr>
              <w:pStyle w:val="TableParagraph"/>
              <w:spacing w:before="13" w:line="266" w:lineRule="auto"/>
              <w:ind w:left="26" w:right="-7"/>
              <w:jc w:val="left"/>
              <w:rPr>
                <w:sz w:val="19"/>
              </w:rPr>
            </w:pPr>
            <w:r>
              <w:rPr>
                <w:sz w:val="19"/>
              </w:rPr>
              <w:t>Finalize riparian prescription and lay out cutblocks</w:t>
            </w:r>
          </w:p>
        </w:tc>
        <w:tc>
          <w:tcPr>
            <w:tcW w:w="444" w:type="dxa"/>
            <w:tcBorders>
              <w:top w:val="single" w:sz="2" w:space="0" w:color="000000"/>
              <w:left w:val="single" w:sz="3" w:space="0" w:color="000000"/>
              <w:bottom w:val="single" w:sz="3" w:space="0" w:color="000000"/>
              <w:right w:val="single" w:sz="2" w:space="0" w:color="000000"/>
            </w:tcBorders>
          </w:tcPr>
          <w:p w:rsidR="0037596D" w:rsidRDefault="0037596D"/>
        </w:tc>
        <w:tc>
          <w:tcPr>
            <w:tcW w:w="444" w:type="dxa"/>
            <w:tcBorders>
              <w:top w:val="single" w:sz="2" w:space="0" w:color="000000"/>
              <w:left w:val="single" w:sz="2" w:space="0" w:color="000000"/>
              <w:bottom w:val="single" w:sz="3" w:space="0" w:color="000000"/>
              <w:right w:val="single" w:sz="2" w:space="0" w:color="000000"/>
            </w:tcBorders>
          </w:tcPr>
          <w:p w:rsidR="0037596D" w:rsidRDefault="0037596D"/>
        </w:tc>
        <w:tc>
          <w:tcPr>
            <w:tcW w:w="444" w:type="dxa"/>
            <w:tcBorders>
              <w:top w:val="single" w:sz="2" w:space="0" w:color="000000"/>
              <w:left w:val="single" w:sz="2" w:space="0" w:color="000000"/>
              <w:bottom w:val="single" w:sz="3" w:space="0" w:color="000000"/>
              <w:right w:val="single" w:sz="2" w:space="0" w:color="000000"/>
            </w:tcBorders>
          </w:tcPr>
          <w:p w:rsidR="0037596D" w:rsidRDefault="0037596D"/>
        </w:tc>
        <w:tc>
          <w:tcPr>
            <w:tcW w:w="444" w:type="dxa"/>
            <w:tcBorders>
              <w:top w:val="single" w:sz="2" w:space="0" w:color="000000"/>
              <w:left w:val="single" w:sz="2" w:space="0" w:color="000000"/>
              <w:bottom w:val="single" w:sz="3" w:space="0" w:color="000000"/>
              <w:right w:val="single" w:sz="2" w:space="0" w:color="000000"/>
            </w:tcBorders>
          </w:tcPr>
          <w:p w:rsidR="0037596D" w:rsidRDefault="0037596D"/>
        </w:tc>
        <w:tc>
          <w:tcPr>
            <w:tcW w:w="444" w:type="dxa"/>
            <w:tcBorders>
              <w:top w:val="nil"/>
              <w:left w:val="nil"/>
              <w:bottom w:val="nil"/>
              <w:right w:val="nil"/>
            </w:tcBorders>
            <w:shd w:val="clear" w:color="auto" w:fill="000000"/>
          </w:tcPr>
          <w:p w:rsidR="0037596D" w:rsidRDefault="0037596D"/>
        </w:tc>
        <w:tc>
          <w:tcPr>
            <w:tcW w:w="443" w:type="dxa"/>
            <w:tcBorders>
              <w:top w:val="single" w:sz="2" w:space="0" w:color="000000"/>
              <w:left w:val="single" w:sz="2" w:space="0" w:color="000000"/>
              <w:bottom w:val="single" w:sz="3" w:space="0" w:color="000000"/>
            </w:tcBorders>
          </w:tcPr>
          <w:p w:rsidR="0037596D" w:rsidRDefault="0037596D"/>
        </w:tc>
        <w:tc>
          <w:tcPr>
            <w:tcW w:w="444" w:type="dxa"/>
            <w:tcBorders>
              <w:top w:val="single" w:sz="2" w:space="0" w:color="000000"/>
              <w:bottom w:val="single" w:sz="3" w:space="0" w:color="000000"/>
            </w:tcBorders>
          </w:tcPr>
          <w:p w:rsidR="0037596D" w:rsidRDefault="0037596D"/>
        </w:tc>
        <w:tc>
          <w:tcPr>
            <w:tcW w:w="444" w:type="dxa"/>
            <w:tcBorders>
              <w:top w:val="single" w:sz="2" w:space="0" w:color="000000"/>
              <w:bottom w:val="single" w:sz="3" w:space="0" w:color="000000"/>
            </w:tcBorders>
          </w:tcPr>
          <w:p w:rsidR="0037596D" w:rsidRDefault="0037596D"/>
        </w:tc>
        <w:tc>
          <w:tcPr>
            <w:tcW w:w="443" w:type="dxa"/>
            <w:tcBorders>
              <w:top w:val="single" w:sz="2" w:space="0" w:color="000000"/>
              <w:bottom w:val="single" w:sz="3" w:space="0" w:color="000000"/>
              <w:right w:val="single" w:sz="3" w:space="0" w:color="000000"/>
            </w:tcBorders>
          </w:tcPr>
          <w:p w:rsidR="0037596D" w:rsidRDefault="0037596D"/>
        </w:tc>
        <w:tc>
          <w:tcPr>
            <w:tcW w:w="444" w:type="dxa"/>
            <w:tcBorders>
              <w:top w:val="single" w:sz="2" w:space="0" w:color="000000"/>
              <w:left w:val="single" w:sz="3" w:space="0" w:color="000000"/>
              <w:bottom w:val="single" w:sz="3" w:space="0" w:color="000000"/>
              <w:right w:val="single" w:sz="3" w:space="0" w:color="000000"/>
            </w:tcBorders>
          </w:tcPr>
          <w:p w:rsidR="0037596D" w:rsidRDefault="0037596D"/>
        </w:tc>
        <w:tc>
          <w:tcPr>
            <w:tcW w:w="444" w:type="dxa"/>
            <w:tcBorders>
              <w:top w:val="single" w:sz="2" w:space="0" w:color="000000"/>
              <w:left w:val="single" w:sz="3" w:space="0" w:color="000000"/>
              <w:bottom w:val="single" w:sz="3" w:space="0" w:color="000000"/>
              <w:right w:val="single" w:sz="3" w:space="0" w:color="000000"/>
            </w:tcBorders>
          </w:tcPr>
          <w:p w:rsidR="0037596D" w:rsidRDefault="0037596D"/>
        </w:tc>
        <w:tc>
          <w:tcPr>
            <w:tcW w:w="444" w:type="dxa"/>
            <w:tcBorders>
              <w:top w:val="single" w:sz="2" w:space="0" w:color="000000"/>
              <w:left w:val="single" w:sz="3" w:space="0" w:color="000000"/>
              <w:bottom w:val="single" w:sz="3" w:space="0" w:color="000000"/>
              <w:right w:val="single" w:sz="3" w:space="0" w:color="000000"/>
            </w:tcBorders>
          </w:tcPr>
          <w:p w:rsidR="0037596D" w:rsidRDefault="0037596D"/>
        </w:tc>
        <w:tc>
          <w:tcPr>
            <w:tcW w:w="444" w:type="dxa"/>
            <w:tcBorders>
              <w:top w:val="single" w:sz="2" w:space="0" w:color="000000"/>
              <w:left w:val="single" w:sz="3" w:space="0" w:color="000000"/>
              <w:bottom w:val="single" w:sz="3" w:space="0" w:color="000000"/>
              <w:right w:val="single" w:sz="3" w:space="0" w:color="000000"/>
            </w:tcBorders>
          </w:tcPr>
          <w:p w:rsidR="0037596D" w:rsidRDefault="0037596D"/>
        </w:tc>
        <w:tc>
          <w:tcPr>
            <w:tcW w:w="444" w:type="dxa"/>
            <w:tcBorders>
              <w:top w:val="single" w:sz="2" w:space="0" w:color="000000"/>
              <w:left w:val="single" w:sz="3" w:space="0" w:color="000000"/>
              <w:bottom w:val="single" w:sz="3" w:space="0" w:color="000000"/>
              <w:right w:val="single" w:sz="3" w:space="0" w:color="000000"/>
            </w:tcBorders>
          </w:tcPr>
          <w:p w:rsidR="0037596D" w:rsidRDefault="0037596D"/>
        </w:tc>
        <w:tc>
          <w:tcPr>
            <w:tcW w:w="444" w:type="dxa"/>
            <w:tcBorders>
              <w:top w:val="single" w:sz="2" w:space="0" w:color="000000"/>
              <w:left w:val="single" w:sz="3" w:space="0" w:color="000000"/>
              <w:bottom w:val="single" w:sz="3" w:space="0" w:color="000000"/>
              <w:right w:val="single" w:sz="3" w:space="0" w:color="000000"/>
            </w:tcBorders>
          </w:tcPr>
          <w:p w:rsidR="0037596D" w:rsidRDefault="0037596D"/>
        </w:tc>
        <w:tc>
          <w:tcPr>
            <w:tcW w:w="444" w:type="dxa"/>
            <w:tcBorders>
              <w:top w:val="single" w:sz="2" w:space="0" w:color="000000"/>
              <w:left w:val="single" w:sz="3" w:space="0" w:color="000000"/>
              <w:bottom w:val="single" w:sz="3" w:space="0" w:color="000000"/>
              <w:right w:val="single" w:sz="3" w:space="0" w:color="000000"/>
            </w:tcBorders>
          </w:tcPr>
          <w:p w:rsidR="0037596D" w:rsidRDefault="0037596D"/>
        </w:tc>
      </w:tr>
      <w:tr w:rsidR="0037596D">
        <w:trPr>
          <w:trHeight w:hRule="exact" w:val="485"/>
        </w:trPr>
        <w:tc>
          <w:tcPr>
            <w:tcW w:w="2251" w:type="dxa"/>
            <w:tcBorders>
              <w:top w:val="single" w:sz="3" w:space="0" w:color="000000"/>
              <w:right w:val="single" w:sz="3" w:space="0" w:color="000000"/>
            </w:tcBorders>
          </w:tcPr>
          <w:p w:rsidR="0037596D" w:rsidRDefault="00904D3A">
            <w:pPr>
              <w:pStyle w:val="TableParagraph"/>
              <w:spacing w:before="13" w:line="266" w:lineRule="auto"/>
              <w:ind w:left="26" w:right="489"/>
              <w:jc w:val="left"/>
              <w:rPr>
                <w:sz w:val="19"/>
              </w:rPr>
            </w:pPr>
            <w:r>
              <w:rPr>
                <w:sz w:val="19"/>
              </w:rPr>
              <w:t>Laboratory analysis of nutrients</w:t>
            </w:r>
          </w:p>
        </w:tc>
        <w:tc>
          <w:tcPr>
            <w:tcW w:w="444" w:type="dxa"/>
            <w:tcBorders>
              <w:top w:val="single" w:sz="3" w:space="0" w:color="000000"/>
              <w:left w:val="single" w:sz="3" w:space="0" w:color="000000"/>
              <w:right w:val="single" w:sz="2" w:space="0" w:color="000000"/>
            </w:tcBorders>
          </w:tcPr>
          <w:p w:rsidR="0037596D" w:rsidRDefault="0037596D"/>
        </w:tc>
        <w:tc>
          <w:tcPr>
            <w:tcW w:w="444" w:type="dxa"/>
            <w:tcBorders>
              <w:top w:val="nil"/>
              <w:left w:val="nil"/>
              <w:bottom w:val="nil"/>
              <w:right w:val="nil"/>
            </w:tcBorders>
            <w:shd w:val="clear" w:color="auto" w:fill="000000"/>
          </w:tcPr>
          <w:p w:rsidR="0037596D" w:rsidRDefault="0037596D"/>
        </w:tc>
        <w:tc>
          <w:tcPr>
            <w:tcW w:w="444" w:type="dxa"/>
            <w:tcBorders>
              <w:top w:val="nil"/>
              <w:left w:val="nil"/>
              <w:bottom w:val="nil"/>
              <w:right w:val="nil"/>
            </w:tcBorders>
            <w:shd w:val="clear" w:color="auto" w:fill="000000"/>
          </w:tcPr>
          <w:p w:rsidR="0037596D" w:rsidRDefault="0037596D"/>
        </w:tc>
        <w:tc>
          <w:tcPr>
            <w:tcW w:w="444" w:type="dxa"/>
            <w:tcBorders>
              <w:top w:val="nil"/>
              <w:left w:val="nil"/>
              <w:bottom w:val="nil"/>
              <w:right w:val="nil"/>
            </w:tcBorders>
            <w:shd w:val="clear" w:color="auto" w:fill="000000"/>
          </w:tcPr>
          <w:p w:rsidR="0037596D" w:rsidRDefault="0037596D"/>
        </w:tc>
        <w:tc>
          <w:tcPr>
            <w:tcW w:w="444" w:type="dxa"/>
            <w:tcBorders>
              <w:top w:val="nil"/>
              <w:left w:val="nil"/>
              <w:bottom w:val="nil"/>
              <w:right w:val="nil"/>
            </w:tcBorders>
            <w:shd w:val="clear" w:color="auto" w:fill="000000"/>
          </w:tcPr>
          <w:p w:rsidR="0037596D" w:rsidRDefault="0037596D"/>
        </w:tc>
        <w:tc>
          <w:tcPr>
            <w:tcW w:w="443" w:type="dxa"/>
            <w:tcBorders>
              <w:top w:val="nil"/>
              <w:left w:val="nil"/>
              <w:bottom w:val="nil"/>
              <w:right w:val="nil"/>
            </w:tcBorders>
            <w:shd w:val="clear" w:color="auto" w:fill="000000"/>
          </w:tcPr>
          <w:p w:rsidR="0037596D" w:rsidRDefault="0037596D"/>
        </w:tc>
        <w:tc>
          <w:tcPr>
            <w:tcW w:w="444" w:type="dxa"/>
            <w:tcBorders>
              <w:top w:val="nil"/>
              <w:left w:val="nil"/>
              <w:bottom w:val="nil"/>
              <w:right w:val="nil"/>
            </w:tcBorders>
            <w:shd w:val="clear" w:color="auto" w:fill="000000"/>
          </w:tcPr>
          <w:p w:rsidR="0037596D" w:rsidRDefault="0037596D"/>
        </w:tc>
        <w:tc>
          <w:tcPr>
            <w:tcW w:w="444" w:type="dxa"/>
            <w:tcBorders>
              <w:top w:val="nil"/>
              <w:left w:val="nil"/>
              <w:bottom w:val="nil"/>
              <w:right w:val="nil"/>
            </w:tcBorders>
            <w:shd w:val="clear" w:color="auto" w:fill="000000"/>
          </w:tcPr>
          <w:p w:rsidR="0037596D" w:rsidRDefault="0037596D"/>
        </w:tc>
        <w:tc>
          <w:tcPr>
            <w:tcW w:w="443" w:type="dxa"/>
            <w:tcBorders>
              <w:top w:val="nil"/>
              <w:left w:val="nil"/>
              <w:bottom w:val="nil"/>
              <w:right w:val="nil"/>
            </w:tcBorders>
            <w:shd w:val="clear" w:color="auto" w:fill="000000"/>
          </w:tcPr>
          <w:p w:rsidR="0037596D" w:rsidRDefault="0037596D"/>
        </w:tc>
        <w:tc>
          <w:tcPr>
            <w:tcW w:w="444" w:type="dxa"/>
            <w:tcBorders>
              <w:top w:val="nil"/>
              <w:left w:val="nil"/>
              <w:bottom w:val="nil"/>
              <w:right w:val="nil"/>
            </w:tcBorders>
            <w:shd w:val="clear" w:color="auto" w:fill="000000"/>
          </w:tcPr>
          <w:p w:rsidR="0037596D" w:rsidRDefault="0037596D"/>
        </w:tc>
        <w:tc>
          <w:tcPr>
            <w:tcW w:w="444" w:type="dxa"/>
            <w:tcBorders>
              <w:top w:val="nil"/>
              <w:left w:val="nil"/>
              <w:bottom w:val="nil"/>
              <w:right w:val="nil"/>
            </w:tcBorders>
            <w:shd w:val="clear" w:color="auto" w:fill="000000"/>
          </w:tcPr>
          <w:p w:rsidR="0037596D" w:rsidRDefault="0037596D"/>
        </w:tc>
        <w:tc>
          <w:tcPr>
            <w:tcW w:w="444" w:type="dxa"/>
            <w:tcBorders>
              <w:top w:val="nil"/>
              <w:left w:val="nil"/>
              <w:bottom w:val="nil"/>
              <w:right w:val="nil"/>
            </w:tcBorders>
            <w:shd w:val="clear" w:color="auto" w:fill="000000"/>
          </w:tcPr>
          <w:p w:rsidR="0037596D" w:rsidRDefault="0037596D"/>
        </w:tc>
        <w:tc>
          <w:tcPr>
            <w:tcW w:w="444" w:type="dxa"/>
            <w:tcBorders>
              <w:top w:val="nil"/>
              <w:left w:val="nil"/>
              <w:bottom w:val="nil"/>
              <w:right w:val="nil"/>
            </w:tcBorders>
            <w:shd w:val="clear" w:color="auto" w:fill="000000"/>
          </w:tcPr>
          <w:p w:rsidR="0037596D" w:rsidRDefault="0037596D"/>
        </w:tc>
        <w:tc>
          <w:tcPr>
            <w:tcW w:w="444" w:type="dxa"/>
            <w:tcBorders>
              <w:top w:val="nil"/>
              <w:left w:val="nil"/>
              <w:bottom w:val="nil"/>
              <w:right w:val="nil"/>
            </w:tcBorders>
            <w:shd w:val="clear" w:color="auto" w:fill="000000"/>
          </w:tcPr>
          <w:p w:rsidR="0037596D" w:rsidRDefault="0037596D"/>
        </w:tc>
        <w:tc>
          <w:tcPr>
            <w:tcW w:w="444" w:type="dxa"/>
            <w:tcBorders>
              <w:top w:val="nil"/>
              <w:left w:val="nil"/>
              <w:bottom w:val="nil"/>
              <w:right w:val="nil"/>
            </w:tcBorders>
            <w:shd w:val="clear" w:color="auto" w:fill="000000"/>
          </w:tcPr>
          <w:p w:rsidR="0037596D" w:rsidRDefault="0037596D"/>
        </w:tc>
        <w:tc>
          <w:tcPr>
            <w:tcW w:w="444" w:type="dxa"/>
            <w:tcBorders>
              <w:top w:val="single" w:sz="3" w:space="0" w:color="000000"/>
              <w:left w:val="single" w:sz="3" w:space="0" w:color="000000"/>
              <w:right w:val="single" w:sz="3" w:space="0" w:color="000000"/>
            </w:tcBorders>
          </w:tcPr>
          <w:p w:rsidR="0037596D" w:rsidRDefault="0037596D"/>
        </w:tc>
      </w:tr>
      <w:tr w:rsidR="0037596D">
        <w:trPr>
          <w:trHeight w:hRule="exact" w:val="243"/>
        </w:trPr>
        <w:tc>
          <w:tcPr>
            <w:tcW w:w="2251" w:type="dxa"/>
            <w:tcBorders>
              <w:bottom w:val="single" w:sz="2" w:space="0" w:color="000000"/>
              <w:right w:val="single" w:sz="3" w:space="0" w:color="000000"/>
            </w:tcBorders>
          </w:tcPr>
          <w:p w:rsidR="0037596D" w:rsidRDefault="00904D3A">
            <w:pPr>
              <w:pStyle w:val="TableParagraph"/>
              <w:spacing w:before="15"/>
              <w:ind w:left="26"/>
              <w:jc w:val="left"/>
              <w:rPr>
                <w:sz w:val="19"/>
              </w:rPr>
            </w:pPr>
            <w:r>
              <w:rPr>
                <w:sz w:val="19"/>
              </w:rPr>
              <w:t>Data analysis</w:t>
            </w:r>
          </w:p>
        </w:tc>
        <w:tc>
          <w:tcPr>
            <w:tcW w:w="444" w:type="dxa"/>
            <w:tcBorders>
              <w:left w:val="single" w:sz="3" w:space="0" w:color="000000"/>
              <w:bottom w:val="single" w:sz="2" w:space="0" w:color="000000"/>
              <w:right w:val="single" w:sz="2" w:space="0" w:color="000000"/>
            </w:tcBorders>
          </w:tcPr>
          <w:p w:rsidR="0037596D" w:rsidRDefault="0037596D"/>
        </w:tc>
        <w:tc>
          <w:tcPr>
            <w:tcW w:w="444" w:type="dxa"/>
            <w:tcBorders>
              <w:left w:val="single" w:sz="2" w:space="0" w:color="000000"/>
              <w:bottom w:val="single" w:sz="2" w:space="0" w:color="000000"/>
              <w:right w:val="single" w:sz="2" w:space="0" w:color="000000"/>
            </w:tcBorders>
          </w:tcPr>
          <w:p w:rsidR="0037596D" w:rsidRDefault="0037596D"/>
        </w:tc>
        <w:tc>
          <w:tcPr>
            <w:tcW w:w="444" w:type="dxa"/>
            <w:tcBorders>
              <w:left w:val="single" w:sz="2" w:space="0" w:color="000000"/>
              <w:bottom w:val="single" w:sz="2" w:space="0" w:color="000000"/>
              <w:right w:val="single" w:sz="2" w:space="0" w:color="000000"/>
            </w:tcBorders>
          </w:tcPr>
          <w:p w:rsidR="0037596D" w:rsidRDefault="0037596D"/>
        </w:tc>
        <w:tc>
          <w:tcPr>
            <w:tcW w:w="444" w:type="dxa"/>
            <w:tcBorders>
              <w:left w:val="single" w:sz="2" w:space="0" w:color="000000"/>
              <w:bottom w:val="single" w:sz="2" w:space="0" w:color="000000"/>
              <w:right w:val="single" w:sz="2" w:space="0" w:color="000000"/>
            </w:tcBorders>
          </w:tcPr>
          <w:p w:rsidR="0037596D" w:rsidRDefault="0037596D"/>
        </w:tc>
        <w:tc>
          <w:tcPr>
            <w:tcW w:w="444" w:type="dxa"/>
            <w:tcBorders>
              <w:top w:val="nil"/>
              <w:left w:val="nil"/>
              <w:bottom w:val="nil"/>
              <w:right w:val="nil"/>
            </w:tcBorders>
            <w:shd w:val="clear" w:color="auto" w:fill="000000"/>
          </w:tcPr>
          <w:p w:rsidR="0037596D" w:rsidRDefault="0037596D"/>
        </w:tc>
        <w:tc>
          <w:tcPr>
            <w:tcW w:w="443" w:type="dxa"/>
            <w:tcBorders>
              <w:top w:val="nil"/>
              <w:left w:val="nil"/>
              <w:bottom w:val="nil"/>
              <w:right w:val="nil"/>
            </w:tcBorders>
            <w:shd w:val="clear" w:color="auto" w:fill="000000"/>
          </w:tcPr>
          <w:p w:rsidR="0037596D" w:rsidRDefault="0037596D"/>
        </w:tc>
        <w:tc>
          <w:tcPr>
            <w:tcW w:w="444" w:type="dxa"/>
            <w:tcBorders>
              <w:top w:val="nil"/>
              <w:left w:val="nil"/>
              <w:bottom w:val="nil"/>
              <w:right w:val="nil"/>
            </w:tcBorders>
            <w:shd w:val="clear" w:color="auto" w:fill="000000"/>
          </w:tcPr>
          <w:p w:rsidR="0037596D" w:rsidRDefault="0037596D"/>
        </w:tc>
        <w:tc>
          <w:tcPr>
            <w:tcW w:w="444" w:type="dxa"/>
            <w:tcBorders>
              <w:top w:val="nil"/>
              <w:left w:val="nil"/>
              <w:bottom w:val="nil"/>
              <w:right w:val="nil"/>
            </w:tcBorders>
            <w:shd w:val="clear" w:color="auto" w:fill="000000"/>
          </w:tcPr>
          <w:p w:rsidR="0037596D" w:rsidRDefault="0037596D"/>
        </w:tc>
        <w:tc>
          <w:tcPr>
            <w:tcW w:w="443" w:type="dxa"/>
            <w:tcBorders>
              <w:top w:val="nil"/>
              <w:left w:val="nil"/>
              <w:bottom w:val="nil"/>
              <w:right w:val="nil"/>
            </w:tcBorders>
            <w:shd w:val="clear" w:color="auto" w:fill="000000"/>
          </w:tcPr>
          <w:p w:rsidR="0037596D" w:rsidRDefault="0037596D"/>
        </w:tc>
        <w:tc>
          <w:tcPr>
            <w:tcW w:w="444" w:type="dxa"/>
            <w:tcBorders>
              <w:top w:val="nil"/>
              <w:left w:val="nil"/>
              <w:bottom w:val="nil"/>
              <w:right w:val="nil"/>
            </w:tcBorders>
            <w:shd w:val="clear" w:color="auto" w:fill="000000"/>
          </w:tcPr>
          <w:p w:rsidR="0037596D" w:rsidRDefault="0037596D"/>
        </w:tc>
        <w:tc>
          <w:tcPr>
            <w:tcW w:w="444" w:type="dxa"/>
            <w:tcBorders>
              <w:top w:val="nil"/>
              <w:left w:val="nil"/>
              <w:bottom w:val="nil"/>
              <w:right w:val="nil"/>
            </w:tcBorders>
            <w:shd w:val="clear" w:color="auto" w:fill="000000"/>
          </w:tcPr>
          <w:p w:rsidR="0037596D" w:rsidRDefault="0037596D"/>
        </w:tc>
        <w:tc>
          <w:tcPr>
            <w:tcW w:w="444" w:type="dxa"/>
            <w:tcBorders>
              <w:top w:val="nil"/>
              <w:left w:val="nil"/>
              <w:bottom w:val="nil"/>
              <w:right w:val="nil"/>
            </w:tcBorders>
            <w:shd w:val="clear" w:color="auto" w:fill="000000"/>
          </w:tcPr>
          <w:p w:rsidR="0037596D" w:rsidRDefault="0037596D"/>
        </w:tc>
        <w:tc>
          <w:tcPr>
            <w:tcW w:w="444" w:type="dxa"/>
            <w:tcBorders>
              <w:left w:val="single" w:sz="3" w:space="0" w:color="000000"/>
              <w:bottom w:val="single" w:sz="2" w:space="0" w:color="000000"/>
              <w:right w:val="single" w:sz="3" w:space="0" w:color="000000"/>
            </w:tcBorders>
          </w:tcPr>
          <w:p w:rsidR="0037596D" w:rsidRDefault="0037596D"/>
        </w:tc>
        <w:tc>
          <w:tcPr>
            <w:tcW w:w="444" w:type="dxa"/>
            <w:tcBorders>
              <w:left w:val="single" w:sz="3" w:space="0" w:color="000000"/>
              <w:bottom w:val="single" w:sz="2" w:space="0" w:color="000000"/>
              <w:right w:val="single" w:sz="3" w:space="0" w:color="000000"/>
            </w:tcBorders>
          </w:tcPr>
          <w:p w:rsidR="0037596D" w:rsidRDefault="0037596D"/>
        </w:tc>
        <w:tc>
          <w:tcPr>
            <w:tcW w:w="444" w:type="dxa"/>
            <w:tcBorders>
              <w:left w:val="single" w:sz="3" w:space="0" w:color="000000"/>
              <w:bottom w:val="single" w:sz="2" w:space="0" w:color="000000"/>
              <w:right w:val="single" w:sz="3" w:space="0" w:color="000000"/>
            </w:tcBorders>
          </w:tcPr>
          <w:p w:rsidR="0037596D" w:rsidRDefault="0037596D"/>
        </w:tc>
        <w:tc>
          <w:tcPr>
            <w:tcW w:w="444" w:type="dxa"/>
            <w:tcBorders>
              <w:left w:val="single" w:sz="3" w:space="0" w:color="000000"/>
              <w:bottom w:val="single" w:sz="2" w:space="0" w:color="000000"/>
              <w:right w:val="single" w:sz="3" w:space="0" w:color="000000"/>
            </w:tcBorders>
          </w:tcPr>
          <w:p w:rsidR="0037596D" w:rsidRDefault="0037596D"/>
        </w:tc>
      </w:tr>
      <w:tr w:rsidR="0037596D">
        <w:trPr>
          <w:trHeight w:hRule="exact" w:val="485"/>
        </w:trPr>
        <w:tc>
          <w:tcPr>
            <w:tcW w:w="2251" w:type="dxa"/>
            <w:tcBorders>
              <w:top w:val="single" w:sz="2" w:space="0" w:color="000000"/>
              <w:bottom w:val="single" w:sz="3" w:space="0" w:color="000000"/>
              <w:right w:val="single" w:sz="3" w:space="0" w:color="000000"/>
            </w:tcBorders>
          </w:tcPr>
          <w:p w:rsidR="0037596D" w:rsidRDefault="00904D3A">
            <w:pPr>
              <w:pStyle w:val="TableParagraph"/>
              <w:spacing w:before="13" w:line="266" w:lineRule="auto"/>
              <w:ind w:left="26"/>
              <w:jc w:val="left"/>
              <w:rPr>
                <w:sz w:val="19"/>
              </w:rPr>
            </w:pPr>
            <w:r>
              <w:rPr>
                <w:sz w:val="19"/>
              </w:rPr>
              <w:t>Presentation of results at international conference</w:t>
            </w:r>
          </w:p>
        </w:tc>
        <w:tc>
          <w:tcPr>
            <w:tcW w:w="444" w:type="dxa"/>
            <w:tcBorders>
              <w:top w:val="single" w:sz="2" w:space="0" w:color="000000"/>
              <w:left w:val="single" w:sz="3" w:space="0" w:color="000000"/>
              <w:bottom w:val="single" w:sz="3" w:space="0" w:color="000000"/>
              <w:right w:val="single" w:sz="2" w:space="0" w:color="000000"/>
            </w:tcBorders>
          </w:tcPr>
          <w:p w:rsidR="0037596D" w:rsidRDefault="0037596D"/>
        </w:tc>
        <w:tc>
          <w:tcPr>
            <w:tcW w:w="444" w:type="dxa"/>
            <w:tcBorders>
              <w:top w:val="single" w:sz="2" w:space="0" w:color="000000"/>
              <w:left w:val="single" w:sz="2" w:space="0" w:color="000000"/>
              <w:bottom w:val="single" w:sz="3" w:space="0" w:color="000000"/>
              <w:right w:val="single" w:sz="2" w:space="0" w:color="000000"/>
            </w:tcBorders>
          </w:tcPr>
          <w:p w:rsidR="0037596D" w:rsidRDefault="0037596D"/>
        </w:tc>
        <w:tc>
          <w:tcPr>
            <w:tcW w:w="444" w:type="dxa"/>
            <w:tcBorders>
              <w:top w:val="single" w:sz="2" w:space="0" w:color="000000"/>
              <w:left w:val="single" w:sz="2" w:space="0" w:color="000000"/>
              <w:bottom w:val="single" w:sz="3" w:space="0" w:color="000000"/>
              <w:right w:val="single" w:sz="2" w:space="0" w:color="000000"/>
            </w:tcBorders>
          </w:tcPr>
          <w:p w:rsidR="0037596D" w:rsidRDefault="0037596D"/>
        </w:tc>
        <w:tc>
          <w:tcPr>
            <w:tcW w:w="444" w:type="dxa"/>
            <w:tcBorders>
              <w:top w:val="single" w:sz="2" w:space="0" w:color="000000"/>
              <w:left w:val="single" w:sz="2" w:space="0" w:color="000000"/>
              <w:bottom w:val="single" w:sz="3" w:space="0" w:color="000000"/>
              <w:right w:val="single" w:sz="2" w:space="0" w:color="000000"/>
            </w:tcBorders>
          </w:tcPr>
          <w:p w:rsidR="0037596D" w:rsidRDefault="0037596D"/>
        </w:tc>
        <w:tc>
          <w:tcPr>
            <w:tcW w:w="444" w:type="dxa"/>
            <w:tcBorders>
              <w:top w:val="single" w:sz="2" w:space="0" w:color="000000"/>
              <w:left w:val="single" w:sz="2" w:space="0" w:color="000000"/>
              <w:bottom w:val="single" w:sz="3" w:space="0" w:color="000000"/>
              <w:right w:val="single" w:sz="2" w:space="0" w:color="000000"/>
            </w:tcBorders>
          </w:tcPr>
          <w:p w:rsidR="0037596D" w:rsidRDefault="0037596D"/>
        </w:tc>
        <w:tc>
          <w:tcPr>
            <w:tcW w:w="443" w:type="dxa"/>
            <w:tcBorders>
              <w:top w:val="single" w:sz="2" w:space="0" w:color="000000"/>
              <w:left w:val="single" w:sz="2" w:space="0" w:color="000000"/>
              <w:bottom w:val="single" w:sz="3" w:space="0" w:color="000000"/>
            </w:tcBorders>
          </w:tcPr>
          <w:p w:rsidR="0037596D" w:rsidRDefault="0037596D"/>
        </w:tc>
        <w:tc>
          <w:tcPr>
            <w:tcW w:w="444" w:type="dxa"/>
            <w:tcBorders>
              <w:top w:val="single" w:sz="2" w:space="0" w:color="000000"/>
              <w:bottom w:val="single" w:sz="3" w:space="0" w:color="000000"/>
            </w:tcBorders>
          </w:tcPr>
          <w:p w:rsidR="0037596D" w:rsidRDefault="0037596D"/>
        </w:tc>
        <w:tc>
          <w:tcPr>
            <w:tcW w:w="444" w:type="dxa"/>
            <w:tcBorders>
              <w:top w:val="single" w:sz="2" w:space="0" w:color="000000"/>
              <w:bottom w:val="single" w:sz="3" w:space="0" w:color="000000"/>
            </w:tcBorders>
          </w:tcPr>
          <w:p w:rsidR="0037596D" w:rsidRDefault="0037596D"/>
        </w:tc>
        <w:tc>
          <w:tcPr>
            <w:tcW w:w="443" w:type="dxa"/>
            <w:tcBorders>
              <w:top w:val="single" w:sz="2" w:space="0" w:color="000000"/>
              <w:bottom w:val="single" w:sz="3" w:space="0" w:color="000000"/>
              <w:right w:val="single" w:sz="3" w:space="0" w:color="000000"/>
            </w:tcBorders>
          </w:tcPr>
          <w:p w:rsidR="0037596D" w:rsidRDefault="0037596D"/>
        </w:tc>
        <w:tc>
          <w:tcPr>
            <w:tcW w:w="444" w:type="dxa"/>
            <w:tcBorders>
              <w:top w:val="single" w:sz="2" w:space="0" w:color="000000"/>
              <w:left w:val="single" w:sz="3" w:space="0" w:color="000000"/>
              <w:bottom w:val="single" w:sz="3" w:space="0" w:color="000000"/>
              <w:right w:val="single" w:sz="3" w:space="0" w:color="000000"/>
            </w:tcBorders>
          </w:tcPr>
          <w:p w:rsidR="0037596D" w:rsidRDefault="0037596D"/>
        </w:tc>
        <w:tc>
          <w:tcPr>
            <w:tcW w:w="444" w:type="dxa"/>
            <w:tcBorders>
              <w:top w:val="nil"/>
              <w:left w:val="nil"/>
              <w:bottom w:val="nil"/>
              <w:right w:val="nil"/>
            </w:tcBorders>
            <w:shd w:val="clear" w:color="auto" w:fill="000000"/>
          </w:tcPr>
          <w:p w:rsidR="0037596D" w:rsidRDefault="0037596D"/>
        </w:tc>
        <w:tc>
          <w:tcPr>
            <w:tcW w:w="444" w:type="dxa"/>
            <w:tcBorders>
              <w:top w:val="single" w:sz="2" w:space="0" w:color="000000"/>
              <w:left w:val="single" w:sz="3" w:space="0" w:color="000000"/>
              <w:bottom w:val="single" w:sz="3" w:space="0" w:color="000000"/>
              <w:right w:val="single" w:sz="3" w:space="0" w:color="000000"/>
            </w:tcBorders>
          </w:tcPr>
          <w:p w:rsidR="0037596D" w:rsidRDefault="0037596D"/>
        </w:tc>
        <w:tc>
          <w:tcPr>
            <w:tcW w:w="444" w:type="dxa"/>
            <w:tcBorders>
              <w:top w:val="single" w:sz="2" w:space="0" w:color="000000"/>
              <w:left w:val="single" w:sz="3" w:space="0" w:color="000000"/>
              <w:bottom w:val="single" w:sz="3" w:space="0" w:color="000000"/>
              <w:right w:val="single" w:sz="3" w:space="0" w:color="000000"/>
            </w:tcBorders>
          </w:tcPr>
          <w:p w:rsidR="0037596D" w:rsidRDefault="0037596D"/>
        </w:tc>
        <w:tc>
          <w:tcPr>
            <w:tcW w:w="444" w:type="dxa"/>
            <w:tcBorders>
              <w:top w:val="single" w:sz="2" w:space="0" w:color="000000"/>
              <w:left w:val="single" w:sz="3" w:space="0" w:color="000000"/>
              <w:bottom w:val="single" w:sz="3" w:space="0" w:color="000000"/>
              <w:right w:val="single" w:sz="3" w:space="0" w:color="000000"/>
            </w:tcBorders>
          </w:tcPr>
          <w:p w:rsidR="0037596D" w:rsidRDefault="0037596D"/>
        </w:tc>
        <w:tc>
          <w:tcPr>
            <w:tcW w:w="444" w:type="dxa"/>
            <w:tcBorders>
              <w:top w:val="nil"/>
              <w:left w:val="nil"/>
              <w:bottom w:val="nil"/>
              <w:right w:val="nil"/>
            </w:tcBorders>
            <w:shd w:val="clear" w:color="auto" w:fill="000000"/>
          </w:tcPr>
          <w:p w:rsidR="0037596D" w:rsidRDefault="0037596D"/>
        </w:tc>
        <w:tc>
          <w:tcPr>
            <w:tcW w:w="444" w:type="dxa"/>
            <w:tcBorders>
              <w:top w:val="single" w:sz="2" w:space="0" w:color="000000"/>
              <w:left w:val="single" w:sz="3" w:space="0" w:color="000000"/>
              <w:bottom w:val="single" w:sz="3" w:space="0" w:color="000000"/>
              <w:right w:val="single" w:sz="3" w:space="0" w:color="000000"/>
            </w:tcBorders>
          </w:tcPr>
          <w:p w:rsidR="0037596D" w:rsidRDefault="0037596D"/>
        </w:tc>
      </w:tr>
      <w:tr w:rsidR="0037596D">
        <w:trPr>
          <w:trHeight w:hRule="exact" w:val="242"/>
        </w:trPr>
        <w:tc>
          <w:tcPr>
            <w:tcW w:w="2251" w:type="dxa"/>
            <w:tcBorders>
              <w:top w:val="single" w:sz="3" w:space="0" w:color="000000"/>
              <w:bottom w:val="single" w:sz="3" w:space="0" w:color="000000"/>
              <w:right w:val="single" w:sz="3" w:space="0" w:color="000000"/>
            </w:tcBorders>
          </w:tcPr>
          <w:p w:rsidR="0037596D" w:rsidRDefault="00904D3A">
            <w:pPr>
              <w:pStyle w:val="TableParagraph"/>
              <w:spacing w:before="13"/>
              <w:ind w:left="26"/>
              <w:jc w:val="left"/>
              <w:rPr>
                <w:sz w:val="19"/>
              </w:rPr>
            </w:pPr>
            <w:r>
              <w:rPr>
                <w:sz w:val="19"/>
              </w:rPr>
              <w:t>PhD Thesis defense</w:t>
            </w:r>
          </w:p>
        </w:tc>
        <w:tc>
          <w:tcPr>
            <w:tcW w:w="444" w:type="dxa"/>
            <w:tcBorders>
              <w:top w:val="single" w:sz="3" w:space="0" w:color="000000"/>
              <w:left w:val="single" w:sz="3" w:space="0" w:color="000000"/>
              <w:bottom w:val="single" w:sz="3" w:space="0" w:color="000000"/>
              <w:right w:val="single" w:sz="2" w:space="0" w:color="000000"/>
            </w:tcBorders>
          </w:tcPr>
          <w:p w:rsidR="0037596D" w:rsidRDefault="0037596D"/>
        </w:tc>
        <w:tc>
          <w:tcPr>
            <w:tcW w:w="444" w:type="dxa"/>
            <w:tcBorders>
              <w:top w:val="single" w:sz="3" w:space="0" w:color="000000"/>
              <w:left w:val="single" w:sz="2" w:space="0" w:color="000000"/>
              <w:bottom w:val="single" w:sz="3" w:space="0" w:color="000000"/>
              <w:right w:val="single" w:sz="2" w:space="0" w:color="000000"/>
            </w:tcBorders>
          </w:tcPr>
          <w:p w:rsidR="0037596D" w:rsidRDefault="0037596D"/>
        </w:tc>
        <w:tc>
          <w:tcPr>
            <w:tcW w:w="444" w:type="dxa"/>
            <w:tcBorders>
              <w:top w:val="single" w:sz="3" w:space="0" w:color="000000"/>
              <w:left w:val="single" w:sz="2" w:space="0" w:color="000000"/>
              <w:bottom w:val="single" w:sz="3" w:space="0" w:color="000000"/>
              <w:right w:val="single" w:sz="2" w:space="0" w:color="000000"/>
            </w:tcBorders>
          </w:tcPr>
          <w:p w:rsidR="0037596D" w:rsidRDefault="0037596D"/>
        </w:tc>
        <w:tc>
          <w:tcPr>
            <w:tcW w:w="444" w:type="dxa"/>
            <w:tcBorders>
              <w:top w:val="single" w:sz="3" w:space="0" w:color="000000"/>
              <w:left w:val="single" w:sz="2" w:space="0" w:color="000000"/>
              <w:bottom w:val="single" w:sz="3" w:space="0" w:color="000000"/>
              <w:right w:val="single" w:sz="2" w:space="0" w:color="000000"/>
            </w:tcBorders>
          </w:tcPr>
          <w:p w:rsidR="0037596D" w:rsidRDefault="0037596D"/>
        </w:tc>
        <w:tc>
          <w:tcPr>
            <w:tcW w:w="444" w:type="dxa"/>
            <w:tcBorders>
              <w:top w:val="single" w:sz="3" w:space="0" w:color="000000"/>
              <w:left w:val="single" w:sz="2" w:space="0" w:color="000000"/>
              <w:bottom w:val="single" w:sz="3" w:space="0" w:color="000000"/>
              <w:right w:val="single" w:sz="2" w:space="0" w:color="000000"/>
            </w:tcBorders>
          </w:tcPr>
          <w:p w:rsidR="0037596D" w:rsidRDefault="0037596D"/>
        </w:tc>
        <w:tc>
          <w:tcPr>
            <w:tcW w:w="443" w:type="dxa"/>
            <w:tcBorders>
              <w:top w:val="single" w:sz="3" w:space="0" w:color="000000"/>
              <w:left w:val="single" w:sz="2" w:space="0" w:color="000000"/>
              <w:bottom w:val="single" w:sz="3" w:space="0" w:color="000000"/>
            </w:tcBorders>
          </w:tcPr>
          <w:p w:rsidR="0037596D" w:rsidRDefault="0037596D"/>
        </w:tc>
        <w:tc>
          <w:tcPr>
            <w:tcW w:w="444" w:type="dxa"/>
            <w:tcBorders>
              <w:top w:val="single" w:sz="3" w:space="0" w:color="000000"/>
              <w:bottom w:val="single" w:sz="3" w:space="0" w:color="000000"/>
            </w:tcBorders>
          </w:tcPr>
          <w:p w:rsidR="0037596D" w:rsidRDefault="0037596D"/>
        </w:tc>
        <w:tc>
          <w:tcPr>
            <w:tcW w:w="444" w:type="dxa"/>
            <w:tcBorders>
              <w:top w:val="single" w:sz="3" w:space="0" w:color="000000"/>
              <w:bottom w:val="single" w:sz="3" w:space="0" w:color="000000"/>
            </w:tcBorders>
          </w:tcPr>
          <w:p w:rsidR="0037596D" w:rsidRDefault="0037596D"/>
        </w:tc>
        <w:tc>
          <w:tcPr>
            <w:tcW w:w="443" w:type="dxa"/>
            <w:tcBorders>
              <w:top w:val="single" w:sz="3" w:space="0" w:color="000000"/>
              <w:bottom w:val="single" w:sz="3" w:space="0" w:color="000000"/>
              <w:right w:val="single" w:sz="3" w:space="0" w:color="000000"/>
            </w:tcBorders>
          </w:tcPr>
          <w:p w:rsidR="0037596D" w:rsidRDefault="0037596D"/>
        </w:tc>
        <w:tc>
          <w:tcPr>
            <w:tcW w:w="444" w:type="dxa"/>
            <w:tcBorders>
              <w:top w:val="single" w:sz="3" w:space="0" w:color="000000"/>
              <w:left w:val="single" w:sz="3" w:space="0" w:color="000000"/>
              <w:bottom w:val="single" w:sz="3" w:space="0" w:color="000000"/>
              <w:right w:val="single" w:sz="3" w:space="0" w:color="000000"/>
            </w:tcBorders>
          </w:tcPr>
          <w:p w:rsidR="0037596D" w:rsidRDefault="0037596D"/>
        </w:tc>
        <w:tc>
          <w:tcPr>
            <w:tcW w:w="444" w:type="dxa"/>
            <w:tcBorders>
              <w:top w:val="single" w:sz="3" w:space="0" w:color="000000"/>
              <w:left w:val="single" w:sz="3" w:space="0" w:color="000000"/>
              <w:bottom w:val="single" w:sz="3" w:space="0" w:color="000000"/>
              <w:right w:val="single" w:sz="3" w:space="0" w:color="000000"/>
            </w:tcBorders>
          </w:tcPr>
          <w:p w:rsidR="0037596D" w:rsidRDefault="0037596D"/>
        </w:tc>
        <w:tc>
          <w:tcPr>
            <w:tcW w:w="444" w:type="dxa"/>
            <w:tcBorders>
              <w:top w:val="single" w:sz="3" w:space="0" w:color="000000"/>
              <w:left w:val="single" w:sz="3" w:space="0" w:color="000000"/>
              <w:bottom w:val="single" w:sz="3" w:space="0" w:color="000000"/>
              <w:right w:val="single" w:sz="3" w:space="0" w:color="000000"/>
            </w:tcBorders>
          </w:tcPr>
          <w:p w:rsidR="0037596D" w:rsidRDefault="0037596D"/>
        </w:tc>
        <w:tc>
          <w:tcPr>
            <w:tcW w:w="444" w:type="dxa"/>
            <w:tcBorders>
              <w:top w:val="single" w:sz="3" w:space="0" w:color="000000"/>
              <w:left w:val="single" w:sz="3" w:space="0" w:color="000000"/>
              <w:bottom w:val="single" w:sz="3" w:space="0" w:color="000000"/>
              <w:right w:val="single" w:sz="3" w:space="0" w:color="000000"/>
            </w:tcBorders>
          </w:tcPr>
          <w:p w:rsidR="0037596D" w:rsidRDefault="0037596D"/>
        </w:tc>
        <w:tc>
          <w:tcPr>
            <w:tcW w:w="444" w:type="dxa"/>
            <w:tcBorders>
              <w:top w:val="single" w:sz="3" w:space="0" w:color="000000"/>
              <w:left w:val="single" w:sz="3" w:space="0" w:color="000000"/>
              <w:bottom w:val="single" w:sz="3" w:space="0" w:color="000000"/>
              <w:right w:val="single" w:sz="3" w:space="0" w:color="000000"/>
            </w:tcBorders>
          </w:tcPr>
          <w:p w:rsidR="0037596D" w:rsidRDefault="0037596D"/>
        </w:tc>
        <w:tc>
          <w:tcPr>
            <w:tcW w:w="444" w:type="dxa"/>
            <w:tcBorders>
              <w:top w:val="single" w:sz="3" w:space="0" w:color="000000"/>
              <w:left w:val="single" w:sz="3" w:space="0" w:color="000000"/>
              <w:bottom w:val="single" w:sz="3" w:space="0" w:color="000000"/>
              <w:right w:val="single" w:sz="3" w:space="0" w:color="000000"/>
            </w:tcBorders>
          </w:tcPr>
          <w:p w:rsidR="0037596D" w:rsidRDefault="0037596D"/>
        </w:tc>
        <w:tc>
          <w:tcPr>
            <w:tcW w:w="444" w:type="dxa"/>
            <w:tcBorders>
              <w:top w:val="nil"/>
              <w:left w:val="nil"/>
              <w:bottom w:val="nil"/>
              <w:right w:val="nil"/>
            </w:tcBorders>
            <w:shd w:val="clear" w:color="auto" w:fill="000000"/>
          </w:tcPr>
          <w:p w:rsidR="0037596D" w:rsidRDefault="0037596D"/>
        </w:tc>
      </w:tr>
      <w:tr w:rsidR="0037596D">
        <w:trPr>
          <w:trHeight w:hRule="exact" w:val="485"/>
        </w:trPr>
        <w:tc>
          <w:tcPr>
            <w:tcW w:w="2251" w:type="dxa"/>
            <w:tcBorders>
              <w:top w:val="single" w:sz="3" w:space="0" w:color="000000"/>
              <w:right w:val="single" w:sz="3" w:space="0" w:color="000000"/>
            </w:tcBorders>
          </w:tcPr>
          <w:p w:rsidR="0037596D" w:rsidRDefault="00904D3A">
            <w:pPr>
              <w:pStyle w:val="TableParagraph"/>
              <w:spacing w:before="13" w:line="266" w:lineRule="auto"/>
              <w:ind w:left="26"/>
              <w:jc w:val="left"/>
              <w:rPr>
                <w:sz w:val="19"/>
              </w:rPr>
            </w:pPr>
            <w:r>
              <w:rPr>
                <w:sz w:val="19"/>
              </w:rPr>
              <w:t>Submit final report and data to CalFire</w:t>
            </w:r>
          </w:p>
        </w:tc>
        <w:tc>
          <w:tcPr>
            <w:tcW w:w="444" w:type="dxa"/>
            <w:tcBorders>
              <w:top w:val="single" w:sz="3" w:space="0" w:color="000000"/>
              <w:left w:val="single" w:sz="3" w:space="0" w:color="000000"/>
              <w:right w:val="single" w:sz="2" w:space="0" w:color="000000"/>
            </w:tcBorders>
          </w:tcPr>
          <w:p w:rsidR="0037596D" w:rsidRDefault="0037596D"/>
        </w:tc>
        <w:tc>
          <w:tcPr>
            <w:tcW w:w="444" w:type="dxa"/>
            <w:tcBorders>
              <w:top w:val="single" w:sz="3" w:space="0" w:color="000000"/>
              <w:left w:val="single" w:sz="2" w:space="0" w:color="000000"/>
              <w:right w:val="single" w:sz="2" w:space="0" w:color="000000"/>
            </w:tcBorders>
          </w:tcPr>
          <w:p w:rsidR="0037596D" w:rsidRDefault="0037596D"/>
        </w:tc>
        <w:tc>
          <w:tcPr>
            <w:tcW w:w="444" w:type="dxa"/>
            <w:tcBorders>
              <w:top w:val="single" w:sz="3" w:space="0" w:color="000000"/>
              <w:left w:val="single" w:sz="2" w:space="0" w:color="000000"/>
              <w:right w:val="single" w:sz="2" w:space="0" w:color="000000"/>
            </w:tcBorders>
          </w:tcPr>
          <w:p w:rsidR="0037596D" w:rsidRDefault="0037596D"/>
        </w:tc>
        <w:tc>
          <w:tcPr>
            <w:tcW w:w="444" w:type="dxa"/>
            <w:tcBorders>
              <w:top w:val="single" w:sz="3" w:space="0" w:color="000000"/>
              <w:left w:val="single" w:sz="2" w:space="0" w:color="000000"/>
              <w:right w:val="single" w:sz="2" w:space="0" w:color="000000"/>
            </w:tcBorders>
          </w:tcPr>
          <w:p w:rsidR="0037596D" w:rsidRDefault="0037596D"/>
        </w:tc>
        <w:tc>
          <w:tcPr>
            <w:tcW w:w="444" w:type="dxa"/>
            <w:tcBorders>
              <w:top w:val="single" w:sz="3" w:space="0" w:color="000000"/>
              <w:left w:val="single" w:sz="2" w:space="0" w:color="000000"/>
              <w:right w:val="single" w:sz="2" w:space="0" w:color="000000"/>
            </w:tcBorders>
          </w:tcPr>
          <w:p w:rsidR="0037596D" w:rsidRDefault="0037596D"/>
        </w:tc>
        <w:tc>
          <w:tcPr>
            <w:tcW w:w="443" w:type="dxa"/>
            <w:tcBorders>
              <w:top w:val="single" w:sz="3" w:space="0" w:color="000000"/>
              <w:left w:val="single" w:sz="2" w:space="0" w:color="000000"/>
            </w:tcBorders>
          </w:tcPr>
          <w:p w:rsidR="0037596D" w:rsidRDefault="0037596D"/>
        </w:tc>
        <w:tc>
          <w:tcPr>
            <w:tcW w:w="444" w:type="dxa"/>
            <w:tcBorders>
              <w:top w:val="single" w:sz="3" w:space="0" w:color="000000"/>
            </w:tcBorders>
          </w:tcPr>
          <w:p w:rsidR="0037596D" w:rsidRDefault="0037596D"/>
        </w:tc>
        <w:tc>
          <w:tcPr>
            <w:tcW w:w="444" w:type="dxa"/>
            <w:tcBorders>
              <w:top w:val="single" w:sz="3" w:space="0" w:color="000000"/>
            </w:tcBorders>
          </w:tcPr>
          <w:p w:rsidR="0037596D" w:rsidRDefault="0037596D"/>
        </w:tc>
        <w:tc>
          <w:tcPr>
            <w:tcW w:w="443" w:type="dxa"/>
            <w:tcBorders>
              <w:top w:val="single" w:sz="3" w:space="0" w:color="000000"/>
              <w:right w:val="single" w:sz="3" w:space="0" w:color="000000"/>
            </w:tcBorders>
          </w:tcPr>
          <w:p w:rsidR="0037596D" w:rsidRDefault="0037596D"/>
        </w:tc>
        <w:tc>
          <w:tcPr>
            <w:tcW w:w="444" w:type="dxa"/>
            <w:tcBorders>
              <w:top w:val="single" w:sz="3" w:space="0" w:color="000000"/>
              <w:left w:val="single" w:sz="3" w:space="0" w:color="000000"/>
              <w:right w:val="single" w:sz="3" w:space="0" w:color="000000"/>
            </w:tcBorders>
          </w:tcPr>
          <w:p w:rsidR="0037596D" w:rsidRDefault="0037596D"/>
        </w:tc>
        <w:tc>
          <w:tcPr>
            <w:tcW w:w="444" w:type="dxa"/>
            <w:tcBorders>
              <w:top w:val="single" w:sz="3" w:space="0" w:color="000000"/>
              <w:left w:val="single" w:sz="3" w:space="0" w:color="000000"/>
              <w:right w:val="single" w:sz="3" w:space="0" w:color="000000"/>
            </w:tcBorders>
          </w:tcPr>
          <w:p w:rsidR="0037596D" w:rsidRDefault="0037596D"/>
        </w:tc>
        <w:tc>
          <w:tcPr>
            <w:tcW w:w="444" w:type="dxa"/>
            <w:tcBorders>
              <w:top w:val="single" w:sz="3" w:space="0" w:color="000000"/>
              <w:left w:val="single" w:sz="3" w:space="0" w:color="000000"/>
              <w:right w:val="single" w:sz="3" w:space="0" w:color="000000"/>
            </w:tcBorders>
          </w:tcPr>
          <w:p w:rsidR="0037596D" w:rsidRDefault="0037596D"/>
        </w:tc>
        <w:tc>
          <w:tcPr>
            <w:tcW w:w="444" w:type="dxa"/>
            <w:tcBorders>
              <w:top w:val="single" w:sz="3" w:space="0" w:color="000000"/>
              <w:left w:val="single" w:sz="3" w:space="0" w:color="000000"/>
              <w:right w:val="single" w:sz="3" w:space="0" w:color="000000"/>
            </w:tcBorders>
          </w:tcPr>
          <w:p w:rsidR="0037596D" w:rsidRDefault="0037596D"/>
        </w:tc>
        <w:tc>
          <w:tcPr>
            <w:tcW w:w="444" w:type="dxa"/>
            <w:tcBorders>
              <w:top w:val="single" w:sz="3" w:space="0" w:color="000000"/>
              <w:left w:val="single" w:sz="3" w:space="0" w:color="000000"/>
              <w:right w:val="single" w:sz="3" w:space="0" w:color="000000"/>
            </w:tcBorders>
          </w:tcPr>
          <w:p w:rsidR="0037596D" w:rsidRDefault="0037596D"/>
        </w:tc>
        <w:tc>
          <w:tcPr>
            <w:tcW w:w="444" w:type="dxa"/>
            <w:tcBorders>
              <w:top w:val="single" w:sz="3" w:space="0" w:color="000000"/>
              <w:left w:val="single" w:sz="3" w:space="0" w:color="000000"/>
              <w:right w:val="single" w:sz="3" w:space="0" w:color="000000"/>
            </w:tcBorders>
          </w:tcPr>
          <w:p w:rsidR="0037596D" w:rsidRDefault="0037596D"/>
        </w:tc>
        <w:tc>
          <w:tcPr>
            <w:tcW w:w="444" w:type="dxa"/>
            <w:tcBorders>
              <w:top w:val="nil"/>
              <w:left w:val="nil"/>
              <w:bottom w:val="nil"/>
              <w:right w:val="nil"/>
            </w:tcBorders>
            <w:shd w:val="clear" w:color="auto" w:fill="000000"/>
          </w:tcPr>
          <w:p w:rsidR="0037596D" w:rsidRDefault="0037596D"/>
        </w:tc>
      </w:tr>
      <w:tr w:rsidR="0037596D">
        <w:trPr>
          <w:trHeight w:hRule="exact" w:val="485"/>
        </w:trPr>
        <w:tc>
          <w:tcPr>
            <w:tcW w:w="2251" w:type="dxa"/>
            <w:tcBorders>
              <w:bottom w:val="single" w:sz="3" w:space="0" w:color="000000"/>
              <w:right w:val="single" w:sz="3" w:space="0" w:color="000000"/>
            </w:tcBorders>
          </w:tcPr>
          <w:p w:rsidR="0037596D" w:rsidRDefault="00904D3A">
            <w:pPr>
              <w:pStyle w:val="TableParagraph"/>
              <w:spacing w:before="14" w:line="266" w:lineRule="auto"/>
              <w:ind w:left="26"/>
              <w:jc w:val="left"/>
              <w:rPr>
                <w:sz w:val="19"/>
              </w:rPr>
            </w:pPr>
            <w:r>
              <w:rPr>
                <w:sz w:val="19"/>
              </w:rPr>
              <w:t>Peer reviewed manuscripts submitted</w:t>
            </w:r>
          </w:p>
        </w:tc>
        <w:tc>
          <w:tcPr>
            <w:tcW w:w="444" w:type="dxa"/>
            <w:tcBorders>
              <w:left w:val="single" w:sz="3" w:space="0" w:color="000000"/>
              <w:bottom w:val="single" w:sz="3" w:space="0" w:color="000000"/>
              <w:right w:val="single" w:sz="2" w:space="0" w:color="000000"/>
            </w:tcBorders>
          </w:tcPr>
          <w:p w:rsidR="0037596D" w:rsidRDefault="0037596D"/>
        </w:tc>
        <w:tc>
          <w:tcPr>
            <w:tcW w:w="444" w:type="dxa"/>
            <w:tcBorders>
              <w:left w:val="single" w:sz="2" w:space="0" w:color="000000"/>
              <w:bottom w:val="single" w:sz="3" w:space="0" w:color="000000"/>
              <w:right w:val="single" w:sz="2" w:space="0" w:color="000000"/>
            </w:tcBorders>
          </w:tcPr>
          <w:p w:rsidR="0037596D" w:rsidRDefault="0037596D"/>
        </w:tc>
        <w:tc>
          <w:tcPr>
            <w:tcW w:w="444" w:type="dxa"/>
            <w:tcBorders>
              <w:left w:val="single" w:sz="2" w:space="0" w:color="000000"/>
              <w:bottom w:val="single" w:sz="3" w:space="0" w:color="000000"/>
              <w:right w:val="single" w:sz="2" w:space="0" w:color="000000"/>
            </w:tcBorders>
          </w:tcPr>
          <w:p w:rsidR="0037596D" w:rsidRDefault="0037596D"/>
        </w:tc>
        <w:tc>
          <w:tcPr>
            <w:tcW w:w="444" w:type="dxa"/>
            <w:tcBorders>
              <w:left w:val="single" w:sz="2" w:space="0" w:color="000000"/>
              <w:bottom w:val="single" w:sz="3" w:space="0" w:color="000000"/>
              <w:right w:val="single" w:sz="2" w:space="0" w:color="000000"/>
            </w:tcBorders>
          </w:tcPr>
          <w:p w:rsidR="0037596D" w:rsidRDefault="0037596D"/>
        </w:tc>
        <w:tc>
          <w:tcPr>
            <w:tcW w:w="444" w:type="dxa"/>
            <w:tcBorders>
              <w:left w:val="single" w:sz="2" w:space="0" w:color="000000"/>
              <w:bottom w:val="single" w:sz="3" w:space="0" w:color="000000"/>
              <w:right w:val="single" w:sz="2" w:space="0" w:color="000000"/>
            </w:tcBorders>
          </w:tcPr>
          <w:p w:rsidR="0037596D" w:rsidRDefault="0037596D"/>
        </w:tc>
        <w:tc>
          <w:tcPr>
            <w:tcW w:w="443" w:type="dxa"/>
            <w:tcBorders>
              <w:left w:val="single" w:sz="2" w:space="0" w:color="000000"/>
              <w:bottom w:val="single" w:sz="3" w:space="0" w:color="000000"/>
            </w:tcBorders>
          </w:tcPr>
          <w:p w:rsidR="0037596D" w:rsidRDefault="0037596D"/>
        </w:tc>
        <w:tc>
          <w:tcPr>
            <w:tcW w:w="444" w:type="dxa"/>
            <w:tcBorders>
              <w:bottom w:val="single" w:sz="3" w:space="0" w:color="000000"/>
            </w:tcBorders>
          </w:tcPr>
          <w:p w:rsidR="0037596D" w:rsidRDefault="0037596D"/>
        </w:tc>
        <w:tc>
          <w:tcPr>
            <w:tcW w:w="444" w:type="dxa"/>
            <w:tcBorders>
              <w:bottom w:val="single" w:sz="3" w:space="0" w:color="000000"/>
            </w:tcBorders>
          </w:tcPr>
          <w:p w:rsidR="0037596D" w:rsidRDefault="0037596D"/>
        </w:tc>
        <w:tc>
          <w:tcPr>
            <w:tcW w:w="443" w:type="dxa"/>
            <w:tcBorders>
              <w:bottom w:val="single" w:sz="3" w:space="0" w:color="000000"/>
              <w:right w:val="single" w:sz="3" w:space="0" w:color="000000"/>
            </w:tcBorders>
          </w:tcPr>
          <w:p w:rsidR="0037596D" w:rsidRDefault="0037596D"/>
        </w:tc>
        <w:tc>
          <w:tcPr>
            <w:tcW w:w="444" w:type="dxa"/>
            <w:tcBorders>
              <w:left w:val="single" w:sz="3" w:space="0" w:color="000000"/>
              <w:bottom w:val="single" w:sz="3" w:space="0" w:color="000000"/>
              <w:right w:val="single" w:sz="3" w:space="0" w:color="000000"/>
            </w:tcBorders>
          </w:tcPr>
          <w:p w:rsidR="0037596D" w:rsidRDefault="0037596D"/>
        </w:tc>
        <w:tc>
          <w:tcPr>
            <w:tcW w:w="444" w:type="dxa"/>
            <w:tcBorders>
              <w:left w:val="single" w:sz="3" w:space="0" w:color="000000"/>
              <w:bottom w:val="single" w:sz="3" w:space="0" w:color="000000"/>
              <w:right w:val="single" w:sz="3" w:space="0" w:color="000000"/>
            </w:tcBorders>
          </w:tcPr>
          <w:p w:rsidR="0037596D" w:rsidRDefault="0037596D"/>
        </w:tc>
        <w:tc>
          <w:tcPr>
            <w:tcW w:w="444" w:type="dxa"/>
            <w:tcBorders>
              <w:left w:val="single" w:sz="3" w:space="0" w:color="000000"/>
              <w:bottom w:val="single" w:sz="3" w:space="0" w:color="000000"/>
              <w:right w:val="single" w:sz="3" w:space="0" w:color="000000"/>
            </w:tcBorders>
          </w:tcPr>
          <w:p w:rsidR="0037596D" w:rsidRDefault="0037596D"/>
        </w:tc>
        <w:tc>
          <w:tcPr>
            <w:tcW w:w="444" w:type="dxa"/>
            <w:tcBorders>
              <w:top w:val="nil"/>
              <w:left w:val="nil"/>
              <w:bottom w:val="nil"/>
              <w:right w:val="nil"/>
            </w:tcBorders>
            <w:shd w:val="clear" w:color="auto" w:fill="000000"/>
          </w:tcPr>
          <w:p w:rsidR="0037596D" w:rsidRDefault="0037596D"/>
        </w:tc>
        <w:tc>
          <w:tcPr>
            <w:tcW w:w="444" w:type="dxa"/>
            <w:tcBorders>
              <w:left w:val="single" w:sz="3" w:space="0" w:color="000000"/>
              <w:bottom w:val="single" w:sz="3" w:space="0" w:color="000000"/>
              <w:right w:val="single" w:sz="3" w:space="0" w:color="000000"/>
            </w:tcBorders>
          </w:tcPr>
          <w:p w:rsidR="0037596D" w:rsidRDefault="0037596D"/>
        </w:tc>
        <w:tc>
          <w:tcPr>
            <w:tcW w:w="444" w:type="dxa"/>
            <w:tcBorders>
              <w:left w:val="single" w:sz="3" w:space="0" w:color="000000"/>
              <w:bottom w:val="single" w:sz="3" w:space="0" w:color="000000"/>
              <w:right w:val="single" w:sz="3" w:space="0" w:color="000000"/>
            </w:tcBorders>
          </w:tcPr>
          <w:p w:rsidR="0037596D" w:rsidRDefault="0037596D"/>
        </w:tc>
        <w:tc>
          <w:tcPr>
            <w:tcW w:w="444" w:type="dxa"/>
            <w:tcBorders>
              <w:top w:val="nil"/>
              <w:left w:val="nil"/>
              <w:bottom w:val="nil"/>
              <w:right w:val="nil"/>
            </w:tcBorders>
            <w:shd w:val="clear" w:color="auto" w:fill="000000"/>
          </w:tcPr>
          <w:p w:rsidR="0037596D" w:rsidRDefault="0037596D"/>
        </w:tc>
      </w:tr>
    </w:tbl>
    <w:p w:rsidR="0037596D" w:rsidRDefault="0037596D">
      <w:pPr>
        <w:sectPr w:rsidR="0037596D">
          <w:pgSz w:w="12240" w:h="15840"/>
          <w:pgMar w:top="1360" w:right="1320" w:bottom="1380" w:left="1320" w:header="0" w:footer="1193" w:gutter="0"/>
          <w:cols w:space="720"/>
        </w:sectPr>
      </w:pPr>
    </w:p>
    <w:p w:rsidR="0037596D" w:rsidRDefault="0037596D">
      <w:pPr>
        <w:pStyle w:val="BodyText"/>
        <w:spacing w:before="9"/>
        <w:rPr>
          <w:sz w:val="18"/>
        </w:rPr>
      </w:pPr>
    </w:p>
    <w:p w:rsidR="0037596D" w:rsidRDefault="00904D3A">
      <w:pPr>
        <w:pStyle w:val="BodyText"/>
        <w:ind w:left="1369"/>
        <w:rPr>
          <w:sz w:val="20"/>
        </w:rPr>
      </w:pPr>
      <w:r>
        <w:rPr>
          <w:noProof/>
          <w:sz w:val="20"/>
        </w:rPr>
        <w:drawing>
          <wp:inline distT="0" distB="0" distL="0" distR="0">
            <wp:extent cx="4269245" cy="7118413"/>
            <wp:effectExtent l="0" t="0" r="0" b="0"/>
            <wp:docPr id="3" name="image2.png" descr="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6" cstate="print"/>
                    <a:stretch>
                      <a:fillRect/>
                    </a:stretch>
                  </pic:blipFill>
                  <pic:spPr>
                    <a:xfrm>
                      <a:off x="0" y="0"/>
                      <a:ext cx="4269245" cy="7118413"/>
                    </a:xfrm>
                    <a:prstGeom prst="rect">
                      <a:avLst/>
                    </a:prstGeom>
                  </pic:spPr>
                </pic:pic>
              </a:graphicData>
            </a:graphic>
          </wp:inline>
        </w:drawing>
      </w:r>
    </w:p>
    <w:p w:rsidR="0037596D" w:rsidRDefault="0037596D">
      <w:pPr>
        <w:pStyle w:val="BodyText"/>
        <w:spacing w:before="1"/>
        <w:rPr>
          <w:sz w:val="6"/>
        </w:rPr>
      </w:pPr>
    </w:p>
    <w:p w:rsidR="0037596D" w:rsidRDefault="00904D3A">
      <w:pPr>
        <w:pStyle w:val="BodyText"/>
        <w:spacing w:before="93"/>
        <w:ind w:left="100" w:right="709"/>
      </w:pPr>
      <w:r>
        <w:rPr>
          <w:b/>
        </w:rPr>
        <w:t>Figure 1</w:t>
      </w:r>
      <w:r>
        <w:t>: Map of potential Class II stream reaches in the northern region of GDRC holdings in the Coastal Anadromy Zone in western California. The map indicates potential WLPZ treatment (green) and reference (pink) stream reaches.</w:t>
      </w:r>
    </w:p>
    <w:p w:rsidR="0037596D" w:rsidRDefault="0037596D">
      <w:pPr>
        <w:sectPr w:rsidR="0037596D">
          <w:pgSz w:w="12240" w:h="15840"/>
          <w:pgMar w:top="1500" w:right="1320" w:bottom="1380" w:left="1340" w:header="0" w:footer="1193" w:gutter="0"/>
          <w:cols w:space="720"/>
        </w:sectPr>
      </w:pPr>
    </w:p>
    <w:p w:rsidR="0037596D" w:rsidRDefault="00904D3A">
      <w:pPr>
        <w:pStyle w:val="BodyText"/>
        <w:ind w:left="1369"/>
        <w:rPr>
          <w:sz w:val="20"/>
        </w:rPr>
      </w:pPr>
      <w:r>
        <w:rPr>
          <w:noProof/>
          <w:sz w:val="20"/>
        </w:rPr>
        <w:lastRenderedPageBreak/>
        <w:drawing>
          <wp:inline distT="0" distB="0" distL="0" distR="0">
            <wp:extent cx="4368530" cy="7283958"/>
            <wp:effectExtent l="0" t="0" r="0" b="0"/>
            <wp:docPr id="5" name="image3.png" descr="Fig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7" cstate="print"/>
                    <a:stretch>
                      <a:fillRect/>
                    </a:stretch>
                  </pic:blipFill>
                  <pic:spPr>
                    <a:xfrm>
                      <a:off x="0" y="0"/>
                      <a:ext cx="4368530" cy="7283958"/>
                    </a:xfrm>
                    <a:prstGeom prst="rect">
                      <a:avLst/>
                    </a:prstGeom>
                  </pic:spPr>
                </pic:pic>
              </a:graphicData>
            </a:graphic>
          </wp:inline>
        </w:drawing>
      </w:r>
    </w:p>
    <w:p w:rsidR="0037596D" w:rsidRDefault="0037596D">
      <w:pPr>
        <w:pStyle w:val="BodyText"/>
        <w:spacing w:before="6"/>
        <w:rPr>
          <w:sz w:val="7"/>
        </w:rPr>
      </w:pPr>
    </w:p>
    <w:p w:rsidR="0037596D" w:rsidRDefault="00904D3A">
      <w:pPr>
        <w:pStyle w:val="BodyText"/>
        <w:spacing w:before="92"/>
        <w:ind w:left="100" w:right="669"/>
      </w:pPr>
      <w:r>
        <w:rPr>
          <w:b/>
        </w:rPr>
        <w:t>Figure 2</w:t>
      </w:r>
      <w:r>
        <w:t>: Map of potential Class II stream reaches in the southern region of GDRC holdings in the Coastal Anadromy Zone in western California. The map indicates potential WLPZ treatment (green) and reference (pink) stream reaches.</w:t>
      </w:r>
    </w:p>
    <w:p w:rsidR="0037596D" w:rsidRDefault="0037596D">
      <w:pPr>
        <w:sectPr w:rsidR="0037596D">
          <w:pgSz w:w="12240" w:h="15840"/>
          <w:pgMar w:top="1440" w:right="1320" w:bottom="1380" w:left="1340" w:header="0" w:footer="1193" w:gutter="0"/>
          <w:cols w:space="720"/>
        </w:sectPr>
      </w:pPr>
    </w:p>
    <w:p w:rsidR="0037596D" w:rsidRDefault="0037596D">
      <w:pPr>
        <w:pStyle w:val="BodyText"/>
        <w:rPr>
          <w:sz w:val="20"/>
        </w:rPr>
      </w:pPr>
    </w:p>
    <w:p w:rsidR="0037596D" w:rsidRDefault="0037596D">
      <w:pPr>
        <w:pStyle w:val="BodyText"/>
        <w:spacing w:before="9"/>
        <w:rPr>
          <w:sz w:val="22"/>
        </w:rPr>
      </w:pPr>
    </w:p>
    <w:p w:rsidR="0037596D" w:rsidRDefault="00904D3A">
      <w:pPr>
        <w:pStyle w:val="BodyText"/>
        <w:ind w:left="2646"/>
        <w:rPr>
          <w:sz w:val="20"/>
        </w:rPr>
      </w:pPr>
      <w:r>
        <w:rPr>
          <w:noProof/>
          <w:sz w:val="20"/>
        </w:rPr>
        <w:drawing>
          <wp:inline distT="0" distB="0" distL="0" distR="0">
            <wp:extent cx="2699598" cy="3369754"/>
            <wp:effectExtent l="0" t="0" r="0" b="0"/>
            <wp:docPr id="7" name="image4.jpeg" descr="Fig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8" cstate="print"/>
                    <a:stretch>
                      <a:fillRect/>
                    </a:stretch>
                  </pic:blipFill>
                  <pic:spPr>
                    <a:xfrm>
                      <a:off x="0" y="0"/>
                      <a:ext cx="2699598" cy="3369754"/>
                    </a:xfrm>
                    <a:prstGeom prst="rect">
                      <a:avLst/>
                    </a:prstGeom>
                  </pic:spPr>
                </pic:pic>
              </a:graphicData>
            </a:graphic>
          </wp:inline>
        </w:drawing>
      </w:r>
    </w:p>
    <w:p w:rsidR="0037596D" w:rsidRDefault="00904D3A">
      <w:pPr>
        <w:pStyle w:val="BodyText"/>
        <w:spacing w:before="31"/>
        <w:ind w:left="100" w:right="127"/>
      </w:pPr>
      <w:r>
        <w:rPr>
          <w:b/>
        </w:rPr>
        <w:t xml:space="preserve">Figure 3: </w:t>
      </w:r>
      <w:r>
        <w:t>The inset shows an example of stream temperature sensor locations (red triangles) in a stream (14, green line) adjacent to a planned cutblock (beige polygon) and in a reference stream (501, pink line), which will be paired with measurements of air temperature, photosynthetically active radiation, dissolved oxygen, primary productivity, and WLPZ structure.</w:t>
      </w:r>
    </w:p>
    <w:p w:rsidR="0037596D" w:rsidRDefault="0037596D">
      <w:pPr>
        <w:sectPr w:rsidR="0037596D">
          <w:pgSz w:w="12240" w:h="15840"/>
          <w:pgMar w:top="1500" w:right="1320" w:bottom="1380" w:left="1340" w:header="0" w:footer="1193" w:gutter="0"/>
          <w:cols w:space="720"/>
        </w:sectPr>
      </w:pPr>
    </w:p>
    <w:p w:rsidR="0037596D" w:rsidRDefault="00904D3A">
      <w:pPr>
        <w:pStyle w:val="Heading1"/>
        <w:spacing w:before="79"/>
        <w:ind w:left="120" w:firstLine="0"/>
      </w:pPr>
      <w:r>
        <w:lastRenderedPageBreak/>
        <w:t>References Cited</w:t>
      </w:r>
    </w:p>
    <w:p w:rsidR="0037596D" w:rsidRDefault="0037596D">
      <w:pPr>
        <w:pStyle w:val="BodyText"/>
        <w:spacing w:before="3"/>
        <w:rPr>
          <w:b/>
          <w:sz w:val="25"/>
        </w:rPr>
      </w:pPr>
    </w:p>
    <w:p w:rsidR="0037596D" w:rsidRDefault="00904D3A">
      <w:pPr>
        <w:pStyle w:val="BodyText"/>
        <w:spacing w:before="1"/>
        <w:ind w:left="840" w:right="315" w:hanging="720"/>
        <w:jc w:val="both"/>
      </w:pPr>
      <w:r>
        <w:t>Atkinson, B.L., Grace, M.R., Hart, B.T., Vanderkruk, K.E.N., 2008. Sediment instability affects</w:t>
      </w:r>
      <w:r>
        <w:rPr>
          <w:spacing w:val="-6"/>
        </w:rPr>
        <w:t xml:space="preserve"> </w:t>
      </w:r>
      <w:r>
        <w:t>the</w:t>
      </w:r>
      <w:r>
        <w:rPr>
          <w:spacing w:val="-6"/>
        </w:rPr>
        <w:t xml:space="preserve"> </w:t>
      </w:r>
      <w:r>
        <w:t>rate</w:t>
      </w:r>
      <w:r>
        <w:rPr>
          <w:spacing w:val="-6"/>
        </w:rPr>
        <w:t xml:space="preserve"> </w:t>
      </w:r>
      <w:r>
        <w:t>and</w:t>
      </w:r>
      <w:r>
        <w:rPr>
          <w:spacing w:val="-6"/>
        </w:rPr>
        <w:t xml:space="preserve"> </w:t>
      </w:r>
      <w:r>
        <w:t>location</w:t>
      </w:r>
      <w:r>
        <w:rPr>
          <w:spacing w:val="-6"/>
        </w:rPr>
        <w:t xml:space="preserve"> </w:t>
      </w:r>
      <w:r>
        <w:t>of</w:t>
      </w:r>
      <w:r>
        <w:rPr>
          <w:spacing w:val="-5"/>
        </w:rPr>
        <w:t xml:space="preserve"> </w:t>
      </w:r>
      <w:r>
        <w:t>primary</w:t>
      </w:r>
      <w:r>
        <w:rPr>
          <w:spacing w:val="-5"/>
        </w:rPr>
        <w:t xml:space="preserve"> </w:t>
      </w:r>
      <w:r>
        <w:t>production</w:t>
      </w:r>
      <w:r>
        <w:rPr>
          <w:spacing w:val="-5"/>
        </w:rPr>
        <w:t xml:space="preserve"> </w:t>
      </w:r>
      <w:r>
        <w:t>and</w:t>
      </w:r>
      <w:r>
        <w:rPr>
          <w:spacing w:val="-5"/>
        </w:rPr>
        <w:t xml:space="preserve"> </w:t>
      </w:r>
      <w:r>
        <w:t>respiration</w:t>
      </w:r>
      <w:r>
        <w:rPr>
          <w:spacing w:val="-6"/>
        </w:rPr>
        <w:t xml:space="preserve"> </w:t>
      </w:r>
      <w:r>
        <w:t>in</w:t>
      </w:r>
      <w:r>
        <w:rPr>
          <w:spacing w:val="-6"/>
        </w:rPr>
        <w:t xml:space="preserve"> </w:t>
      </w:r>
      <w:r>
        <w:t>a</w:t>
      </w:r>
      <w:r>
        <w:rPr>
          <w:spacing w:val="-6"/>
        </w:rPr>
        <w:t xml:space="preserve"> </w:t>
      </w:r>
      <w:r>
        <w:t>sand-bed stream. Journal of the North American Benthological Society 27,</w:t>
      </w:r>
      <w:r>
        <w:rPr>
          <w:spacing w:val="-24"/>
        </w:rPr>
        <w:t xml:space="preserve"> </w:t>
      </w:r>
      <w:r>
        <w:t>581-592.</w:t>
      </w:r>
    </w:p>
    <w:p w:rsidR="0037596D" w:rsidRDefault="00904D3A">
      <w:pPr>
        <w:pStyle w:val="BodyText"/>
        <w:ind w:left="840" w:right="262" w:hanging="720"/>
      </w:pPr>
      <w:r>
        <w:t>Bear, E.A., McMahon, T.E., Zale, A.V., 2007. Comparative thermal requirements of westslope cutthroat trout and rainbow trout: Implications for species interactions and development of thermal protection standards. Trans. Am. Fish. Soc. 136, 1113-1121.</w:t>
      </w:r>
    </w:p>
    <w:p w:rsidR="0037596D" w:rsidRDefault="00904D3A">
      <w:pPr>
        <w:pStyle w:val="BodyText"/>
        <w:ind w:left="840" w:right="295" w:hanging="720"/>
      </w:pPr>
      <w:r>
        <w:t>Beckschäfer, P., Seidel, D., Kleinn, C., Xu, J., 2013. On the exposure of hemispherical photographs in forests. Journal of Biogeosciences and Forestry 6, 228-237.</w:t>
      </w:r>
    </w:p>
    <w:p w:rsidR="0037596D" w:rsidRDefault="00904D3A">
      <w:pPr>
        <w:pStyle w:val="BodyText"/>
        <w:ind w:left="840" w:right="216" w:hanging="720"/>
      </w:pPr>
      <w:r>
        <w:t>Beitinger, T.L., Bennett, W.A., McCauley, R.W., 2000. Temperature tolerances of North American freshwater fishes exposed to dynamic changes in temperature.</w:t>
      </w:r>
    </w:p>
    <w:p w:rsidR="0037596D" w:rsidRDefault="00904D3A">
      <w:pPr>
        <w:pStyle w:val="BodyText"/>
        <w:ind w:left="840"/>
      </w:pPr>
      <w:r>
        <w:t>Environ. Biol. Fishes 58, 237-275.</w:t>
      </w:r>
    </w:p>
    <w:p w:rsidR="0037596D" w:rsidRDefault="00904D3A">
      <w:pPr>
        <w:pStyle w:val="BodyText"/>
        <w:ind w:left="840" w:right="181" w:hanging="720"/>
        <w:jc w:val="both"/>
      </w:pPr>
      <w:r>
        <w:t>Bladon, K.D., Cook, N.A., Light, J.T., Segura, C., 2016. A catchment-scale assessment of stream temperature response to contemporary forest harvesting in the Oregon Coast Range. Forest Ecology &amp; Management 379, 153-164.</w:t>
      </w:r>
    </w:p>
    <w:p w:rsidR="0037596D" w:rsidRDefault="00904D3A">
      <w:pPr>
        <w:pStyle w:val="BodyText"/>
        <w:ind w:left="840" w:right="630" w:hanging="720"/>
      </w:pPr>
      <w:r>
        <w:t>Bladon, K.D., Segura, C., Cook, N.A., Bywater-Reyes, S., Reiter, M., 2018. A multi- catchment analysis of headwater and downstream temperature effects from contemporary forest harvesting. Hydrological Processes 32, 293-304.</w:t>
      </w:r>
    </w:p>
    <w:p w:rsidR="0037596D" w:rsidRDefault="00904D3A">
      <w:pPr>
        <w:pStyle w:val="BodyText"/>
        <w:ind w:left="840" w:right="669" w:hanging="720"/>
      </w:pPr>
      <w:r>
        <w:t>Cafferata, P.H., 1990. Temperature regimes of small streams along the Mendocino Coast. In, Jackson Demonstration State Forest Newsletter. California Department of Forestry, Fort Bragg, CA, pp. 1-4.</w:t>
      </w:r>
    </w:p>
    <w:p w:rsidR="0037596D" w:rsidRDefault="00904D3A">
      <w:pPr>
        <w:pStyle w:val="BodyText"/>
        <w:ind w:left="840" w:right="148" w:hanging="720"/>
      </w:pPr>
      <w:r>
        <w:t>CAL FIRE, 2017. California Forest Practice Rules 2017. In: The California Department of Forestry and Fire Protection, R.M., Forest Practice Program (Ed.), Title 14, California Code of Regulations Chapters 4, 4.5, and 10, Sacramento, CA, p. 397.</w:t>
      </w:r>
    </w:p>
    <w:p w:rsidR="0037596D" w:rsidRDefault="00904D3A">
      <w:pPr>
        <w:pStyle w:val="BodyText"/>
        <w:ind w:left="840" w:right="269" w:hanging="720"/>
      </w:pPr>
      <w:r>
        <w:t>Caruso, B.S., 2002. Temporal and spatial patterns of extreme low flows and effects on stream ecosystems in Otago, New Zealand. Journal of Hydrology 257, 115-133.</w:t>
      </w:r>
    </w:p>
    <w:p w:rsidR="0037596D" w:rsidRDefault="00904D3A">
      <w:pPr>
        <w:pStyle w:val="BodyText"/>
        <w:ind w:left="120"/>
      </w:pPr>
      <w:r>
        <w:t>Cristan, R., Aust, W.M., Bolding, M.C., Barrett, S.M., Munsell, J.F., Schilling, E., 2016.</w:t>
      </w:r>
    </w:p>
    <w:p w:rsidR="0037596D" w:rsidRDefault="00904D3A">
      <w:pPr>
        <w:pStyle w:val="BodyText"/>
        <w:ind w:left="840" w:right="936"/>
      </w:pPr>
      <w:r>
        <w:t>Effectiveness of forestry best management practices in the United States: Literature review. Forest Ecology and Management 360, 133-151.</w:t>
      </w:r>
    </w:p>
    <w:p w:rsidR="0037596D" w:rsidRDefault="00904D3A">
      <w:pPr>
        <w:pStyle w:val="BodyText"/>
        <w:ind w:left="839" w:right="296" w:hanging="720"/>
      </w:pPr>
      <w:r>
        <w:t>D'Angelo, D.J., Gregory, S.V., Ashkenas, L.R., Meyer, J.L., 1997. Physical and biological linkages within a stream geomorphic hierarchy: a modeling approach. Journal of the North American Benthological Society 16, 480-502.</w:t>
      </w:r>
    </w:p>
    <w:p w:rsidR="0037596D" w:rsidRDefault="00904D3A">
      <w:pPr>
        <w:pStyle w:val="BodyText"/>
        <w:ind w:left="839" w:right="649" w:hanging="720"/>
      </w:pPr>
      <w:r>
        <w:t>Demars, B.O.L., Manson, J.R., Olafsson, J.S., Gislason, G.M., Gudmundsdottir, R., Woodward, G., Reiss, J., Pichler, D.E., Rasmussen, J.J., Friberg, N., 2011. Temperature and the metabolic balance of streams. Freshwater Biology 56, 1106-1121.</w:t>
      </w:r>
    </w:p>
    <w:p w:rsidR="0037596D" w:rsidRDefault="00904D3A">
      <w:pPr>
        <w:pStyle w:val="BodyText"/>
        <w:ind w:left="839" w:right="323" w:hanging="720"/>
      </w:pPr>
      <w:r>
        <w:t>Dunham, J., Rieman, B., Chandler, G., 2003. Influences of temperature and environmental variables on the distribution of bull trout within streams at the southern margin of its range. North American Journal of Fisheries Management 23, 894-904.</w:t>
      </w:r>
    </w:p>
    <w:p w:rsidR="0037596D" w:rsidRDefault="00904D3A">
      <w:pPr>
        <w:pStyle w:val="BodyText"/>
        <w:ind w:left="839" w:right="337" w:hanging="720"/>
      </w:pPr>
      <w:r>
        <w:t>Eaton, J.G., Scheller, R.M., 1996. Effects of climate warming on fish thermal habitat in streams of the United States. Limnology and Oceanography 41, 1109-1115.</w:t>
      </w:r>
    </w:p>
    <w:p w:rsidR="0037596D" w:rsidRDefault="0037596D">
      <w:pPr>
        <w:sectPr w:rsidR="0037596D">
          <w:pgSz w:w="12240" w:h="15840"/>
          <w:pgMar w:top="1360" w:right="1320" w:bottom="1380" w:left="1320" w:header="0" w:footer="1193" w:gutter="0"/>
          <w:cols w:space="720"/>
        </w:sectPr>
      </w:pPr>
    </w:p>
    <w:p w:rsidR="0037596D" w:rsidRDefault="00904D3A">
      <w:pPr>
        <w:pStyle w:val="BodyText"/>
        <w:spacing w:before="78"/>
        <w:ind w:left="820" w:right="216" w:hanging="720"/>
      </w:pPr>
      <w:r>
        <w:lastRenderedPageBreak/>
        <w:t>Effectiveness Monitoring Committee, 2018. Effectiveness Monitoring Committee (EMC) Draft Strategic Plan. In. California Board of Forestry and Fire Protection, Sacramento, CA, p. 82.</w:t>
      </w:r>
    </w:p>
    <w:p w:rsidR="0037596D" w:rsidRDefault="00904D3A">
      <w:pPr>
        <w:pStyle w:val="BodyText"/>
        <w:ind w:left="820" w:right="415" w:hanging="720"/>
      </w:pPr>
      <w:r>
        <w:t>Glatthorn, J., Beckschäfer, P., 2014. Standardizing the protocol for hemispherical photographs: Accuracy assessment of binarization algorithms. Plos One 9, 19.</w:t>
      </w:r>
    </w:p>
    <w:p w:rsidR="0037596D" w:rsidRDefault="00904D3A">
      <w:pPr>
        <w:pStyle w:val="BodyText"/>
        <w:ind w:left="820" w:right="221" w:hanging="720"/>
      </w:pPr>
      <w:r>
        <w:t>Gomi, T., Moore, R.D., Dhakal, A.S., 2006. Headwater stream temperature response to clear-cut harvesting with different riparian treatments, coastal British Columbia, Canada. Water Resources Research 42, W08437.</w:t>
      </w:r>
    </w:p>
    <w:p w:rsidR="0037596D" w:rsidRDefault="00904D3A">
      <w:pPr>
        <w:pStyle w:val="BodyText"/>
        <w:ind w:left="820" w:hanging="720"/>
      </w:pPr>
      <w:r>
        <w:t>Gonsamo, A., Walter, J.M.N., Pellikka, P., 2011. CIMES: A package of programs for determining canopy geometry and solar radiation regimes through hemispherical photographs. Comput. Electron. Agric. 79, 207-215.</w:t>
      </w:r>
    </w:p>
    <w:p w:rsidR="0037596D" w:rsidRDefault="00904D3A">
      <w:pPr>
        <w:pStyle w:val="BodyText"/>
        <w:ind w:left="819" w:right="195" w:hanging="720"/>
        <w:jc w:val="both"/>
      </w:pPr>
      <w:r>
        <w:t>Grace, M.R., Giling, D.P., Hladyz, S., Caron, V., Thompson, R.M., Mac Nally, R., 2015. Fast processing of diel oxygen curves: Estimating stream metabolism with BASE (BAyesian Single-station Estimation). Limnol. Oceanogr. Meth. 13, 103-114.</w:t>
      </w:r>
    </w:p>
    <w:p w:rsidR="0037596D" w:rsidRDefault="00904D3A">
      <w:pPr>
        <w:pStyle w:val="BodyText"/>
        <w:ind w:left="820" w:right="321" w:hanging="720"/>
      </w:pPr>
      <w:r>
        <w:t>Gregory, S.V., 1980. Effects of light, nutrients, and grazing on periphyton communities in streams. In, Department of Fisheries and Wildlife. Oregon State University, Corvallis, OR, p. 209.</w:t>
      </w:r>
    </w:p>
    <w:p w:rsidR="0037596D" w:rsidRDefault="00904D3A">
      <w:pPr>
        <w:pStyle w:val="BodyText"/>
        <w:ind w:left="820" w:hanging="720"/>
      </w:pPr>
      <w:r>
        <w:t>Hawkins, C.P., Hogue, J.N., Decker, L.M., Feminella, J.W., 1997. Channel morphology, water temperature, and assemblage structure of stream insects. Journal of the North American Benthological Society 16, 728-749.</w:t>
      </w:r>
    </w:p>
    <w:p w:rsidR="0037596D" w:rsidRDefault="00904D3A">
      <w:pPr>
        <w:pStyle w:val="BodyText"/>
        <w:ind w:left="820" w:right="242" w:hanging="720"/>
      </w:pPr>
      <w:r>
        <w:t>Hester, E.T., Doyle, M.W., 2011. Human impacts to river temperature and their effects on biological processes: a quantitative synthesis. Journal of the American Water Resources Association 47, 571-587.</w:t>
      </w:r>
    </w:p>
    <w:p w:rsidR="0037596D" w:rsidRDefault="00904D3A">
      <w:pPr>
        <w:pStyle w:val="BodyText"/>
        <w:ind w:left="820" w:right="176" w:hanging="720"/>
      </w:pPr>
      <w:r>
        <w:t>Hogg, I.D., Williams, D.D., 1996. Response of stream invertebrates to a global-warming thermal regime: An ecosystem-level manipulation. Ecology 77, 395-407.</w:t>
      </w:r>
    </w:p>
    <w:p w:rsidR="0037596D" w:rsidRDefault="00904D3A">
      <w:pPr>
        <w:pStyle w:val="BodyText"/>
        <w:ind w:left="820" w:right="309" w:hanging="720"/>
      </w:pPr>
      <w:r>
        <w:t>Ice, G.G., 2008. Stream temperature and dissolved oxygen. In: Stednick, J. (Ed.), Hydrological and biological responses to forest practices: The Alsea Watershed Study. Springer Science +Business Media, LLC, New York, NY, pp. 37-54.</w:t>
      </w:r>
    </w:p>
    <w:p w:rsidR="0037596D" w:rsidRDefault="00904D3A">
      <w:pPr>
        <w:pStyle w:val="BodyText"/>
        <w:spacing w:before="1"/>
        <w:ind w:left="820" w:right="296" w:hanging="720"/>
      </w:pPr>
      <w:r>
        <w:t>James, C.E., 2003. Southern exposure research project: A study evaluating the effectiveness of riparian buffers in minimizing impacts of clearcut timber harvest operations on shade-producing canopy cover, microclimate, and water temperature along a headwater stream in northern California. In, Wildland Resource Science. University of California, Berkeley, Berkely, CA, p. 368.</w:t>
      </w:r>
    </w:p>
    <w:p w:rsidR="0037596D" w:rsidRDefault="00904D3A">
      <w:pPr>
        <w:pStyle w:val="BodyText"/>
        <w:ind w:left="820" w:right="361" w:hanging="720"/>
      </w:pPr>
      <w:r>
        <w:t>Johnson, S.L., 2004. Factors influencing stream temperatures in small streams: substrate effects and a shading experiment. Canadian Journal of Fisheries and Aquatic Sciences 61, 913-923.</w:t>
      </w:r>
    </w:p>
    <w:p w:rsidR="0037596D" w:rsidRDefault="00904D3A">
      <w:pPr>
        <w:pStyle w:val="BodyText"/>
        <w:ind w:left="820" w:right="295" w:hanging="720"/>
      </w:pPr>
      <w:r>
        <w:t>Kahlert, M., McKie, B.G., 2014. Comparing new and conventional methods to estimate benthic algal biomass and composition in freshwaters. Environmental Science- Processes &amp; Impacts 16, 2627-2634.</w:t>
      </w:r>
    </w:p>
    <w:p w:rsidR="0037596D" w:rsidRDefault="00904D3A">
      <w:pPr>
        <w:pStyle w:val="BodyText"/>
        <w:ind w:left="820" w:right="282" w:hanging="720"/>
      </w:pPr>
      <w:r>
        <w:t>Kasahara, T., Wondzell, S.M., 2003. Geomorphic controls on hyporheic exchange flow in mountain streams. Water Resources Research 39, SBH 3-1–SBH 3-14.</w:t>
      </w:r>
    </w:p>
    <w:p w:rsidR="0037596D" w:rsidRDefault="00904D3A">
      <w:pPr>
        <w:pStyle w:val="BodyText"/>
        <w:ind w:left="820" w:right="309" w:hanging="720"/>
      </w:pPr>
      <w:r>
        <w:t>Kiffney, P.M., Bull, J.P., 2000. Factors controlling periphyton accrual during summer in headwater streams of southwestern British Columbia, Canada. Journal of Freshwater Ecology 15, 399-351.</w:t>
      </w:r>
    </w:p>
    <w:p w:rsidR="0037596D" w:rsidRDefault="0037596D">
      <w:pPr>
        <w:sectPr w:rsidR="0037596D">
          <w:pgSz w:w="12240" w:h="15840"/>
          <w:pgMar w:top="1360" w:right="1320" w:bottom="1380" w:left="1340" w:header="0" w:footer="1193" w:gutter="0"/>
          <w:cols w:space="720"/>
        </w:sectPr>
      </w:pPr>
    </w:p>
    <w:p w:rsidR="0037596D" w:rsidRDefault="00904D3A">
      <w:pPr>
        <w:pStyle w:val="BodyText"/>
        <w:spacing w:before="78"/>
        <w:ind w:left="840" w:right="803" w:hanging="720"/>
      </w:pPr>
      <w:r>
        <w:lastRenderedPageBreak/>
        <w:t>Kosinski, R.J., Merkle, M.G., 1984. The effect of 4 terrestrial herbicides on the productivity of artificial stream algal communities. Journal of Environmental Quality 13, 75-82.</w:t>
      </w:r>
    </w:p>
    <w:p w:rsidR="0037596D" w:rsidRDefault="00904D3A">
      <w:pPr>
        <w:pStyle w:val="BodyText"/>
        <w:ind w:left="840" w:right="1002" w:hanging="720"/>
      </w:pPr>
      <w:r>
        <w:t>Ledwith, T., 1996. The effects of buffer strip with on air temperature and relative humidity in a stream riparian zone. In, Watershed Management Council Newsletter.</w:t>
      </w:r>
    </w:p>
    <w:p w:rsidR="0037596D" w:rsidRDefault="00904D3A">
      <w:pPr>
        <w:pStyle w:val="BodyText"/>
        <w:ind w:left="840" w:right="149" w:hanging="720"/>
      </w:pPr>
      <w:r>
        <w:t>Luce, C., Staab, B., Kramer, M., Wenger, S., Isaak, D., McConnell, C., 2014. Sensitivity of summer stream temperatures to climate variability in the Pacific Northwest.</w:t>
      </w:r>
    </w:p>
    <w:p w:rsidR="0037596D" w:rsidRDefault="00904D3A">
      <w:pPr>
        <w:pStyle w:val="BodyText"/>
        <w:ind w:left="840"/>
      </w:pPr>
      <w:r>
        <w:t>Water Resources Research 50, 3428-3443.</w:t>
      </w:r>
    </w:p>
    <w:p w:rsidR="0037596D" w:rsidRDefault="00904D3A">
      <w:pPr>
        <w:pStyle w:val="BodyText"/>
        <w:ind w:left="840" w:right="868" w:hanging="720"/>
      </w:pPr>
      <w:r>
        <w:t>MacDonald, L.H., Coe, D., 2007. Influence of headwater streams on downstream reaches in forested areas. Forest Science 53, 148-168.</w:t>
      </w:r>
    </w:p>
    <w:p w:rsidR="0037596D" w:rsidRDefault="00904D3A">
      <w:pPr>
        <w:pStyle w:val="BodyText"/>
        <w:ind w:left="840" w:right="394" w:hanging="720"/>
      </w:pPr>
      <w:r>
        <w:t>Marker, A.F.H., Nusch, E.A., Rai, H., Riemann, B., 1980. The measurement of photosynthetic pigments in freshwaters and standardisation of methods: conclusions and recommendations. Arch. Hydrobiol. Beih., Ergebn. Limnol. 14, 91-106.</w:t>
      </w:r>
    </w:p>
    <w:p w:rsidR="0037596D" w:rsidRDefault="00904D3A">
      <w:pPr>
        <w:pStyle w:val="BodyText"/>
        <w:ind w:left="840" w:right="135" w:hanging="720"/>
      </w:pPr>
      <w:r>
        <w:t>McGurk, B.J., 1989. Predicting stream temperature after riparian vegetation removal. In: Abell, D.L., Technical Coordinator (Ed.), Proceedings of the California Riparian Systems Conference: protection, management, and restoration for the 1990s.</w:t>
      </w:r>
    </w:p>
    <w:p w:rsidR="0037596D" w:rsidRDefault="00904D3A">
      <w:pPr>
        <w:pStyle w:val="BodyText"/>
        <w:ind w:left="840" w:right="482"/>
      </w:pPr>
      <w:r>
        <w:t>Pacific Southwest Forest and Range Experiment Station, Forest Service, U.S. Department of Agriculture, Berkeley, CA, Davis, CA, pp. 157-164.</w:t>
      </w:r>
    </w:p>
    <w:p w:rsidR="0037596D" w:rsidRDefault="00904D3A">
      <w:pPr>
        <w:pStyle w:val="BodyText"/>
        <w:ind w:left="840" w:right="567" w:hanging="720"/>
        <w:jc w:val="both"/>
      </w:pPr>
      <w:r>
        <w:t>Moore, R.D., 2005. Introduction to salt dilution gauging for streamflow measurement part 3: slug injection using salt solution. Streamline: Watershed Management Bulletin 8, 1-6.</w:t>
      </w:r>
    </w:p>
    <w:p w:rsidR="0037596D" w:rsidRDefault="00904D3A">
      <w:pPr>
        <w:pStyle w:val="BodyText"/>
        <w:ind w:left="840" w:right="656" w:hanging="720"/>
      </w:pPr>
      <w:r>
        <w:t>Moore, R.D., Wondzell, S.M., 2005. Physical hydrology and the effects of forest harvesting in the Pacific Northwest: a review. Journal of the American Water Resources Association 41, 763-784.</w:t>
      </w:r>
    </w:p>
    <w:p w:rsidR="0037596D" w:rsidRDefault="00904D3A">
      <w:pPr>
        <w:pStyle w:val="BodyText"/>
        <w:ind w:left="839" w:right="283" w:hanging="720"/>
      </w:pPr>
      <w:r>
        <w:t>Morin, A., Lamoureux, W., Busnarda, J., 1999. Empirical models predicting primary productivity from chlorophyll a and water temperature for stream periphyton and lake and ocean phytoplankton. Journal of the North American Benthological Society 18, 299-307.</w:t>
      </w:r>
    </w:p>
    <w:p w:rsidR="0037596D" w:rsidRDefault="00904D3A">
      <w:pPr>
        <w:pStyle w:val="BodyText"/>
        <w:ind w:left="839" w:right="683" w:hanging="720"/>
      </w:pPr>
      <w:r>
        <w:t>Newton, M., Ice, G., 2016. Regulating riparian forests for aquatic productivity in the Pacific Northwest, USA: addressing a paradox. Environmental Science and Pollution Research 23, 1149-1157.</w:t>
      </w:r>
    </w:p>
    <w:p w:rsidR="0037596D" w:rsidRDefault="00904D3A">
      <w:pPr>
        <w:pStyle w:val="BodyText"/>
        <w:ind w:left="839" w:right="1229" w:hanging="720"/>
      </w:pPr>
      <w:r>
        <w:t>Nusch, E.A., 1980. Comparison of methods for chlorophyll and phaeopigment determination. Arch. Hydrobiol. Beih., Ergebn. Limnol. 14, 14–36.</w:t>
      </w:r>
    </w:p>
    <w:p w:rsidR="0037596D" w:rsidRDefault="00904D3A">
      <w:pPr>
        <w:pStyle w:val="BodyText"/>
        <w:ind w:left="840" w:right="149" w:hanging="720"/>
      </w:pPr>
      <w:r>
        <w:t>Origo, N., Calders, K., Nightingale, J., Disney, M., 2017. Influence of levelling technique on the retrieval of canopy structural parameters from digital hemispherical photography. Agricultural and Forest Meteorology 237, 143-149.</w:t>
      </w:r>
    </w:p>
    <w:p w:rsidR="0037596D" w:rsidRDefault="00904D3A">
      <w:pPr>
        <w:pStyle w:val="BodyText"/>
        <w:ind w:left="840" w:right="362" w:hanging="720"/>
      </w:pPr>
      <w:r>
        <w:t>Pollock, M.M., Beechie, T.J., 2014. Does riparian forest restoration thinning enhance biodiversity? The ecological importance of large wood. Journal of the American Water Resources Association 50, 543-559.</w:t>
      </w:r>
    </w:p>
    <w:p w:rsidR="0037596D" w:rsidRDefault="00904D3A">
      <w:pPr>
        <w:pStyle w:val="BodyText"/>
        <w:ind w:left="840" w:right="122" w:hanging="720"/>
      </w:pPr>
      <w:r>
        <w:t>Pyne, M.I., Poff, N.L., 2017. Vulnerability of stream community composition and function to projected thermal warming and hydrologic change across ecoregions in the western United States. Global Change Biology 23, 77-93.</w:t>
      </w:r>
    </w:p>
    <w:p w:rsidR="0037596D" w:rsidRDefault="00904D3A">
      <w:pPr>
        <w:pStyle w:val="BodyText"/>
        <w:ind w:left="839" w:right="256" w:hanging="720"/>
      </w:pPr>
      <w:r>
        <w:t>Sinokrot, B.A., Stefan, H.G., 1993. Stream temperature dynamics - measurements and modeling. Water Resources Research 29, 2299-2312.</w:t>
      </w:r>
    </w:p>
    <w:p w:rsidR="0037596D" w:rsidRDefault="0037596D">
      <w:pPr>
        <w:sectPr w:rsidR="0037596D">
          <w:pgSz w:w="12240" w:h="15840"/>
          <w:pgMar w:top="1360" w:right="1320" w:bottom="1380" w:left="1320" w:header="0" w:footer="1193" w:gutter="0"/>
          <w:cols w:space="720"/>
        </w:sectPr>
      </w:pPr>
    </w:p>
    <w:p w:rsidR="0037596D" w:rsidRDefault="00904D3A">
      <w:pPr>
        <w:pStyle w:val="BodyText"/>
        <w:spacing w:before="78"/>
        <w:ind w:left="840" w:right="683" w:hanging="720"/>
      </w:pPr>
      <w:r>
        <w:lastRenderedPageBreak/>
        <w:t>Studinski, J.M., Hartman, K.J., Niles, J.M., Keyser, P., 2012. The effects of riparian forest disturbance on stream temperature, sedimentation, and morphology. Hydrobiologia 686, 107-117.</w:t>
      </w:r>
    </w:p>
    <w:p w:rsidR="0037596D" w:rsidRDefault="00904D3A">
      <w:pPr>
        <w:pStyle w:val="BodyText"/>
        <w:ind w:left="840" w:right="341" w:hanging="720"/>
        <w:jc w:val="both"/>
      </w:pPr>
      <w:r>
        <w:t>Waite, I.R., Carpenter, K.D., 2000. Associations among fish assemblage structure and environmental variables in Willamette Basin streams, Oregon. Trans. Am. Fish. Soc. 129, 754-770.</w:t>
      </w:r>
    </w:p>
    <w:p w:rsidR="0037596D" w:rsidRDefault="00904D3A">
      <w:pPr>
        <w:pStyle w:val="BodyText"/>
        <w:spacing w:before="9" w:line="276" w:lineRule="exact"/>
        <w:ind w:left="840" w:right="433" w:hanging="720"/>
        <w:jc w:val="both"/>
      </w:pPr>
      <w:r>
        <w:t>Wanninkhof, R., Mulholland, P.J., Elwood, J.W., 1990. Gas exchange rates for a first</w:t>
      </w:r>
      <w:r>
        <w:rPr>
          <w:rFonts w:ascii="Cambria"/>
        </w:rPr>
        <w:t xml:space="preserve">- </w:t>
      </w:r>
      <w:r>
        <w:t>order stream determined with deliberate and natural tracers. Water Resources Research 26, 1621-1630.</w:t>
      </w:r>
    </w:p>
    <w:p w:rsidR="0037596D" w:rsidRDefault="00904D3A">
      <w:pPr>
        <w:pStyle w:val="BodyText"/>
        <w:ind w:left="839" w:right="349" w:hanging="720"/>
      </w:pPr>
      <w:r>
        <w:t>Wick, A.R., 2016. Adaptive management of a riparian zone in the lower Klamath River Basin, northern California: the effects of riparian harvest on canopy closure, water temperatures and baseflow. In, Natural Resources: Forestry, Watershed, and Wildland Sciences. Humboldt State University, Arcata, CA, p. 102.</w:t>
      </w:r>
    </w:p>
    <w:p w:rsidR="0037596D" w:rsidRDefault="00904D3A">
      <w:pPr>
        <w:pStyle w:val="BodyText"/>
        <w:spacing w:before="4"/>
        <w:ind w:left="839" w:right="229" w:hanging="720"/>
      </w:pPr>
      <w:r>
        <w:t>Wilzbach, M.A., Harvey, B.C., White, J.L., Nakamoto, R.J., 2005. Effects of riparian canopy opening and salmon carcass addition on the abundance and growth of resident salmonids. Canadian Journal of Fisheries and Aquatic Sciences 62, 58- 67.</w:t>
      </w:r>
    </w:p>
    <w:p w:rsidR="0037596D" w:rsidRDefault="0037596D">
      <w:pPr>
        <w:sectPr w:rsidR="0037596D">
          <w:pgSz w:w="12240" w:h="15840"/>
          <w:pgMar w:top="1360" w:right="1320" w:bottom="1380" w:left="1320" w:header="0" w:footer="1193" w:gutter="0"/>
          <w:cols w:space="720"/>
        </w:sectPr>
      </w:pPr>
    </w:p>
    <w:p w:rsidR="0037596D" w:rsidRDefault="00904D3A">
      <w:pPr>
        <w:pStyle w:val="Heading1"/>
        <w:spacing w:before="79"/>
        <w:ind w:left="120" w:firstLine="0"/>
      </w:pPr>
      <w:r>
        <w:lastRenderedPageBreak/>
        <w:t>Appendix A. Budget Justification.</w:t>
      </w:r>
    </w:p>
    <w:p w:rsidR="0037596D" w:rsidRDefault="0037596D">
      <w:pPr>
        <w:pStyle w:val="BodyText"/>
        <w:rPr>
          <w:b/>
          <w:sz w:val="26"/>
        </w:rPr>
      </w:pPr>
    </w:p>
    <w:p w:rsidR="0037596D" w:rsidRDefault="00904D3A">
      <w:pPr>
        <w:pStyle w:val="ListParagraph"/>
        <w:numPr>
          <w:ilvl w:val="0"/>
          <w:numId w:val="1"/>
        </w:numPr>
        <w:tabs>
          <w:tab w:val="left" w:pos="428"/>
        </w:tabs>
        <w:spacing w:before="159"/>
        <w:ind w:hanging="307"/>
        <w:rPr>
          <w:sz w:val="24"/>
        </w:rPr>
      </w:pPr>
      <w:r>
        <w:rPr>
          <w:b/>
          <w:sz w:val="24"/>
        </w:rPr>
        <w:t>Personnel -</w:t>
      </w:r>
      <w:r>
        <w:rPr>
          <w:b/>
          <w:spacing w:val="-9"/>
          <w:sz w:val="24"/>
        </w:rPr>
        <w:t xml:space="preserve"> </w:t>
      </w:r>
      <w:r>
        <w:rPr>
          <w:sz w:val="24"/>
        </w:rPr>
        <w:t>$218,119</w:t>
      </w:r>
    </w:p>
    <w:p w:rsidR="0037596D" w:rsidRDefault="00904D3A">
      <w:pPr>
        <w:pStyle w:val="BodyText"/>
        <w:spacing w:before="180"/>
        <w:ind w:left="480"/>
      </w:pPr>
      <w:r>
        <w:t>Bladon is requesting 1 month per year for 4 years using a base monthly salary of</w:t>
      </w:r>
    </w:p>
    <w:p w:rsidR="0037596D" w:rsidRDefault="00904D3A">
      <w:pPr>
        <w:pStyle w:val="BodyText"/>
        <w:spacing w:before="21" w:line="259" w:lineRule="auto"/>
        <w:ind w:left="479" w:right="189"/>
      </w:pPr>
      <w:r>
        <w:t>$9,472 for a total of $40,816. Bladon will be responsible for (1) coordination of field and laboratory research, (2) oversight of data QA/QC and analysis, (3) overall project management, (4) advisement of the graduate students, and (5) communication of the research results in reports, peer-reviewed publications, and at conferences, workshops, and meetings. A 3% annual escalation was applied.</w:t>
      </w:r>
    </w:p>
    <w:p w:rsidR="0037596D" w:rsidRDefault="00904D3A">
      <w:pPr>
        <w:pStyle w:val="BodyText"/>
        <w:spacing w:before="158"/>
        <w:ind w:left="480"/>
      </w:pPr>
      <w:r>
        <w:t>Segura is requesting 1 month per year for 4 years using a base monthly salary of</w:t>
      </w:r>
    </w:p>
    <w:p w:rsidR="0037596D" w:rsidRDefault="00904D3A">
      <w:pPr>
        <w:pStyle w:val="BodyText"/>
        <w:spacing w:before="23" w:line="259" w:lineRule="auto"/>
        <w:ind w:left="480" w:right="188"/>
      </w:pPr>
      <w:r>
        <w:t>$9,496 for a total of $40,920. Segura will also be responsible for (1) coordination of field and laboratory research, (2) oversight of data QA/QC and analysis, (3) overall project management, (4) advisement of the graduate students, and (5) communication of the research results in reports, peer-reviewed publications, and at conferences, workshops, and meetings. A 3% annual escalation was applied.</w:t>
      </w:r>
    </w:p>
    <w:p w:rsidR="0037596D" w:rsidRDefault="00904D3A">
      <w:pPr>
        <w:pStyle w:val="BodyText"/>
        <w:spacing w:before="159" w:line="259" w:lineRule="auto"/>
        <w:ind w:left="479" w:right="242"/>
      </w:pPr>
      <w:r>
        <w:t>Funds are requested for a graduate student (PhD) for 4 academic year terms and 4 summer terms using a base monthly salary of $4,255 for a total of $105,183. The student will be responsible for data collection, data analysis, and communication of the research results in reports, peer-reviewed publications, and at conferences, workshops, and meetings. A 2% annual escalation was applied beginning in year 1.</w:t>
      </w:r>
    </w:p>
    <w:p w:rsidR="0037596D" w:rsidRDefault="00904D3A">
      <w:pPr>
        <w:pStyle w:val="BodyText"/>
        <w:spacing w:before="158" w:line="259" w:lineRule="auto"/>
        <w:ind w:left="479" w:right="202"/>
      </w:pPr>
      <w:r>
        <w:t>Additional funds are requested for an undergraduate student for 4 summers (3 months) at $15/hour for a total of $31,200 ($7,800 per summer). The undergraduate student will assist with field and laboratory data collection.</w:t>
      </w:r>
    </w:p>
    <w:p w:rsidR="0037596D" w:rsidRDefault="00904D3A">
      <w:pPr>
        <w:pStyle w:val="ListParagraph"/>
        <w:numPr>
          <w:ilvl w:val="0"/>
          <w:numId w:val="1"/>
        </w:numPr>
        <w:tabs>
          <w:tab w:val="left" w:pos="427"/>
        </w:tabs>
        <w:spacing w:before="160"/>
        <w:ind w:left="426" w:hanging="306"/>
        <w:rPr>
          <w:sz w:val="24"/>
        </w:rPr>
      </w:pPr>
      <w:r>
        <w:rPr>
          <w:b/>
          <w:sz w:val="24"/>
        </w:rPr>
        <w:t>Fringe Benefits -</w:t>
      </w:r>
      <w:r>
        <w:rPr>
          <w:b/>
          <w:spacing w:val="-10"/>
          <w:sz w:val="24"/>
        </w:rPr>
        <w:t xml:space="preserve"> </w:t>
      </w:r>
      <w:r>
        <w:rPr>
          <w:sz w:val="24"/>
        </w:rPr>
        <w:t>$82,418</w:t>
      </w:r>
    </w:p>
    <w:p w:rsidR="0037596D" w:rsidRDefault="00904D3A">
      <w:pPr>
        <w:pStyle w:val="BodyText"/>
        <w:spacing w:before="181" w:line="259" w:lineRule="auto"/>
        <w:ind w:left="479" w:right="202"/>
      </w:pPr>
      <w:r>
        <w:t>Fringe benefits for Bladon follow institutionally approved guidelines and start at 55% for a total of $23,076.</w:t>
      </w:r>
    </w:p>
    <w:p w:rsidR="0037596D" w:rsidRDefault="00904D3A">
      <w:pPr>
        <w:pStyle w:val="BodyText"/>
        <w:spacing w:before="158" w:line="261" w:lineRule="auto"/>
        <w:ind w:left="479" w:right="175"/>
      </w:pPr>
      <w:r>
        <w:t>Fringe benefits for Segura follow institutionally approved guidelines and start at 55% for a total of $23,135.</w:t>
      </w:r>
    </w:p>
    <w:p w:rsidR="0037596D" w:rsidRDefault="00904D3A">
      <w:pPr>
        <w:pStyle w:val="BodyText"/>
        <w:spacing w:before="155" w:line="259" w:lineRule="auto"/>
        <w:ind w:left="479" w:right="495"/>
      </w:pPr>
      <w:r>
        <w:t>Fringe benefits for graduate student follow institutionally approved guidelines and start at 29% for a total of $33,711.</w:t>
      </w:r>
    </w:p>
    <w:p w:rsidR="0037596D" w:rsidRDefault="00904D3A">
      <w:pPr>
        <w:pStyle w:val="BodyText"/>
        <w:spacing w:before="159" w:line="259" w:lineRule="auto"/>
        <w:ind w:left="479" w:right="149"/>
      </w:pPr>
      <w:r>
        <w:t>Fringe benefits for the undergraduate student follow institutionally approved guidelines and start at 8% for a total of $2,496.</w:t>
      </w:r>
    </w:p>
    <w:p w:rsidR="0037596D" w:rsidRDefault="00904D3A">
      <w:pPr>
        <w:pStyle w:val="ListParagraph"/>
        <w:numPr>
          <w:ilvl w:val="0"/>
          <w:numId w:val="1"/>
        </w:numPr>
        <w:tabs>
          <w:tab w:val="left" w:pos="428"/>
        </w:tabs>
        <w:spacing w:before="160"/>
        <w:ind w:hanging="307"/>
        <w:rPr>
          <w:sz w:val="24"/>
        </w:rPr>
      </w:pPr>
      <w:r>
        <w:rPr>
          <w:b/>
          <w:sz w:val="24"/>
        </w:rPr>
        <w:t>Travel -</w:t>
      </w:r>
      <w:r>
        <w:rPr>
          <w:b/>
          <w:spacing w:val="-9"/>
          <w:sz w:val="24"/>
        </w:rPr>
        <w:t xml:space="preserve"> </w:t>
      </w:r>
      <w:r>
        <w:rPr>
          <w:sz w:val="24"/>
        </w:rPr>
        <w:t>$80,452</w:t>
      </w:r>
    </w:p>
    <w:p w:rsidR="0037596D" w:rsidRDefault="00904D3A">
      <w:pPr>
        <w:spacing w:before="180"/>
        <w:ind w:left="479"/>
        <w:rPr>
          <w:sz w:val="24"/>
        </w:rPr>
      </w:pPr>
      <w:r>
        <w:rPr>
          <w:b/>
          <w:sz w:val="24"/>
        </w:rPr>
        <w:t xml:space="preserve">Domestic - </w:t>
      </w:r>
      <w:r>
        <w:rPr>
          <w:sz w:val="24"/>
        </w:rPr>
        <w:t>$80,452</w:t>
      </w:r>
    </w:p>
    <w:p w:rsidR="0037596D" w:rsidRDefault="00904D3A">
      <w:pPr>
        <w:pStyle w:val="BodyText"/>
        <w:spacing w:before="180" w:line="259" w:lineRule="auto"/>
        <w:ind w:left="479" w:right="442"/>
      </w:pPr>
      <w:r>
        <w:t>Funds are requested in each of Years 1 to 4 for the PIs, graduate student, and undergraduate assistant to travel to Arcata, CA and the field sites in the region for</w:t>
      </w:r>
    </w:p>
    <w:p w:rsidR="0037596D" w:rsidRDefault="0037596D">
      <w:pPr>
        <w:spacing w:line="259" w:lineRule="auto"/>
        <w:sectPr w:rsidR="0037596D">
          <w:pgSz w:w="12240" w:h="15840"/>
          <w:pgMar w:top="1360" w:right="1320" w:bottom="1380" w:left="1320" w:header="0" w:footer="1193" w:gutter="0"/>
          <w:cols w:space="720"/>
        </w:sectPr>
      </w:pPr>
    </w:p>
    <w:p w:rsidR="0037596D" w:rsidRDefault="00904D3A">
      <w:pPr>
        <w:pStyle w:val="BodyText"/>
        <w:spacing w:before="78" w:line="259" w:lineRule="auto"/>
        <w:ind w:left="480" w:right="1308"/>
      </w:pPr>
      <w:r>
        <w:lastRenderedPageBreak/>
        <w:t>instrumentation of the field sites, data collection, and maintenance of field equipment. Costs for the trip are calculated as follows:</w:t>
      </w:r>
    </w:p>
    <w:p w:rsidR="0037596D" w:rsidRDefault="00904D3A">
      <w:pPr>
        <w:pStyle w:val="ListParagraph"/>
        <w:numPr>
          <w:ilvl w:val="1"/>
          <w:numId w:val="1"/>
        </w:numPr>
        <w:tabs>
          <w:tab w:val="left" w:pos="1199"/>
          <w:tab w:val="left" w:pos="1201"/>
        </w:tabs>
        <w:spacing w:line="293" w:lineRule="exact"/>
        <w:ind w:hanging="360"/>
        <w:rPr>
          <w:sz w:val="24"/>
        </w:rPr>
      </w:pPr>
      <w:r>
        <w:rPr>
          <w:sz w:val="24"/>
        </w:rPr>
        <w:t>per diem $57/day x 11 days + $134/night x 10 nights =</w:t>
      </w:r>
      <w:r>
        <w:rPr>
          <w:spacing w:val="-27"/>
          <w:sz w:val="24"/>
        </w:rPr>
        <w:t xml:space="preserve"> </w:t>
      </w:r>
      <w:r>
        <w:rPr>
          <w:sz w:val="24"/>
        </w:rPr>
        <w:t>$1967;</w:t>
      </w:r>
    </w:p>
    <w:p w:rsidR="0037596D" w:rsidRDefault="00904D3A">
      <w:pPr>
        <w:pStyle w:val="ListParagraph"/>
        <w:numPr>
          <w:ilvl w:val="1"/>
          <w:numId w:val="1"/>
        </w:numPr>
        <w:tabs>
          <w:tab w:val="left" w:pos="1199"/>
          <w:tab w:val="left" w:pos="1201"/>
        </w:tabs>
        <w:spacing w:line="292" w:lineRule="exact"/>
        <w:ind w:hanging="360"/>
        <w:rPr>
          <w:sz w:val="24"/>
        </w:rPr>
      </w:pPr>
      <w:r>
        <w:rPr>
          <w:sz w:val="24"/>
        </w:rPr>
        <w:t>vehicle $390/month x 4 months + $0.3/mi x 8400 miles =</w:t>
      </w:r>
      <w:r>
        <w:rPr>
          <w:spacing w:val="-31"/>
          <w:sz w:val="24"/>
        </w:rPr>
        <w:t xml:space="preserve"> </w:t>
      </w:r>
      <w:r>
        <w:rPr>
          <w:sz w:val="24"/>
        </w:rPr>
        <w:t>$4080;</w:t>
      </w:r>
    </w:p>
    <w:p w:rsidR="0037596D" w:rsidRDefault="00904D3A">
      <w:pPr>
        <w:pStyle w:val="ListParagraph"/>
        <w:numPr>
          <w:ilvl w:val="1"/>
          <w:numId w:val="1"/>
        </w:numPr>
        <w:tabs>
          <w:tab w:val="left" w:pos="1199"/>
          <w:tab w:val="left" w:pos="1201"/>
        </w:tabs>
        <w:ind w:right="166" w:hanging="360"/>
        <w:rPr>
          <w:sz w:val="24"/>
        </w:rPr>
      </w:pPr>
      <w:r>
        <w:rPr>
          <w:sz w:val="24"/>
        </w:rPr>
        <w:t>per trip total = $1967 x 7 trips plus monthly vehicle costs $4080 = $17849 x 4 years =</w:t>
      </w:r>
      <w:r>
        <w:rPr>
          <w:spacing w:val="-14"/>
          <w:sz w:val="24"/>
        </w:rPr>
        <w:t xml:space="preserve"> </w:t>
      </w:r>
      <w:r>
        <w:rPr>
          <w:sz w:val="24"/>
        </w:rPr>
        <w:t>$71,396</w:t>
      </w:r>
    </w:p>
    <w:p w:rsidR="0037596D" w:rsidRDefault="0037596D">
      <w:pPr>
        <w:pStyle w:val="BodyText"/>
        <w:spacing w:before="11"/>
        <w:rPr>
          <w:sz w:val="25"/>
        </w:rPr>
      </w:pPr>
    </w:p>
    <w:p w:rsidR="0037596D" w:rsidRDefault="00904D3A">
      <w:pPr>
        <w:pStyle w:val="BodyText"/>
        <w:spacing w:line="259" w:lineRule="auto"/>
        <w:ind w:left="480" w:right="415"/>
      </w:pPr>
      <w:r>
        <w:t>Funds are requested for 2 people to travel to AGU (San Francisco, CA) to present the research results in Year 3 and 4. Costs for the trip are calculated as follows:</w:t>
      </w:r>
    </w:p>
    <w:p w:rsidR="0037596D" w:rsidRDefault="00904D3A">
      <w:pPr>
        <w:pStyle w:val="ListParagraph"/>
        <w:numPr>
          <w:ilvl w:val="1"/>
          <w:numId w:val="1"/>
        </w:numPr>
        <w:tabs>
          <w:tab w:val="left" w:pos="1199"/>
          <w:tab w:val="left" w:pos="1201"/>
        </w:tabs>
        <w:spacing w:line="293" w:lineRule="exact"/>
        <w:ind w:hanging="360"/>
        <w:rPr>
          <w:sz w:val="24"/>
        </w:rPr>
      </w:pPr>
      <w:r>
        <w:rPr>
          <w:sz w:val="24"/>
        </w:rPr>
        <w:t>airfare</w:t>
      </w:r>
      <w:r>
        <w:rPr>
          <w:spacing w:val="-5"/>
          <w:sz w:val="24"/>
        </w:rPr>
        <w:t xml:space="preserve"> </w:t>
      </w:r>
      <w:r>
        <w:rPr>
          <w:sz w:val="24"/>
        </w:rPr>
        <w:t>$300,</w:t>
      </w:r>
      <w:r>
        <w:rPr>
          <w:spacing w:val="-5"/>
          <w:sz w:val="24"/>
        </w:rPr>
        <w:t xml:space="preserve"> </w:t>
      </w:r>
      <w:r>
        <w:rPr>
          <w:sz w:val="24"/>
        </w:rPr>
        <w:t>per</w:t>
      </w:r>
      <w:r>
        <w:rPr>
          <w:spacing w:val="-5"/>
          <w:sz w:val="24"/>
        </w:rPr>
        <w:t xml:space="preserve"> </w:t>
      </w:r>
      <w:r>
        <w:rPr>
          <w:sz w:val="24"/>
        </w:rPr>
        <w:t>diem</w:t>
      </w:r>
      <w:r>
        <w:rPr>
          <w:spacing w:val="-5"/>
          <w:sz w:val="24"/>
        </w:rPr>
        <w:t xml:space="preserve"> </w:t>
      </w:r>
      <w:r>
        <w:rPr>
          <w:sz w:val="24"/>
        </w:rPr>
        <w:t>$68/day,</w:t>
      </w:r>
      <w:r>
        <w:rPr>
          <w:spacing w:val="-4"/>
          <w:sz w:val="24"/>
        </w:rPr>
        <w:t xml:space="preserve"> </w:t>
      </w:r>
      <w:r>
        <w:rPr>
          <w:sz w:val="24"/>
        </w:rPr>
        <w:t>lodging</w:t>
      </w:r>
      <w:r>
        <w:rPr>
          <w:spacing w:val="-4"/>
          <w:sz w:val="24"/>
        </w:rPr>
        <w:t xml:space="preserve"> </w:t>
      </w:r>
      <w:r>
        <w:rPr>
          <w:sz w:val="24"/>
        </w:rPr>
        <w:t>$216/night</w:t>
      </w:r>
      <w:r>
        <w:rPr>
          <w:spacing w:val="-4"/>
          <w:sz w:val="24"/>
        </w:rPr>
        <w:t xml:space="preserve"> </w:t>
      </w:r>
      <w:r>
        <w:rPr>
          <w:sz w:val="24"/>
        </w:rPr>
        <w:t>for</w:t>
      </w:r>
      <w:r>
        <w:rPr>
          <w:spacing w:val="-4"/>
          <w:sz w:val="24"/>
        </w:rPr>
        <w:t xml:space="preserve"> </w:t>
      </w:r>
      <w:r>
        <w:rPr>
          <w:sz w:val="24"/>
        </w:rPr>
        <w:t>5</w:t>
      </w:r>
      <w:r>
        <w:rPr>
          <w:spacing w:val="-4"/>
          <w:sz w:val="24"/>
        </w:rPr>
        <w:t xml:space="preserve"> </w:t>
      </w:r>
      <w:r>
        <w:rPr>
          <w:sz w:val="24"/>
        </w:rPr>
        <w:t>nights</w:t>
      </w:r>
      <w:r>
        <w:rPr>
          <w:spacing w:val="-4"/>
          <w:sz w:val="24"/>
        </w:rPr>
        <w:t xml:space="preserve"> </w:t>
      </w:r>
      <w:r>
        <w:rPr>
          <w:sz w:val="24"/>
        </w:rPr>
        <w:t>for</w:t>
      </w:r>
      <w:r>
        <w:rPr>
          <w:spacing w:val="-4"/>
          <w:sz w:val="24"/>
        </w:rPr>
        <w:t xml:space="preserve"> </w:t>
      </w:r>
      <w:r>
        <w:rPr>
          <w:sz w:val="24"/>
        </w:rPr>
        <w:t>2</w:t>
      </w:r>
      <w:r>
        <w:rPr>
          <w:spacing w:val="-4"/>
          <w:sz w:val="24"/>
        </w:rPr>
        <w:t xml:space="preserve"> </w:t>
      </w:r>
      <w:r>
        <w:rPr>
          <w:sz w:val="24"/>
        </w:rPr>
        <w:t>people</w:t>
      </w:r>
      <w:r>
        <w:rPr>
          <w:spacing w:val="-4"/>
          <w:sz w:val="24"/>
        </w:rPr>
        <w:t xml:space="preserve"> </w:t>
      </w:r>
      <w:r>
        <w:rPr>
          <w:sz w:val="24"/>
        </w:rPr>
        <w:t>=</w:t>
      </w:r>
    </w:p>
    <w:p w:rsidR="0037596D" w:rsidRDefault="00904D3A">
      <w:pPr>
        <w:pStyle w:val="BodyText"/>
        <w:spacing w:line="275" w:lineRule="exact"/>
        <w:ind w:left="1199"/>
      </w:pPr>
      <w:r>
        <w:t>$3,576.</w:t>
      </w:r>
    </w:p>
    <w:p w:rsidR="0037596D" w:rsidRDefault="00904D3A">
      <w:pPr>
        <w:pStyle w:val="ListParagraph"/>
        <w:numPr>
          <w:ilvl w:val="1"/>
          <w:numId w:val="1"/>
        </w:numPr>
        <w:tabs>
          <w:tab w:val="left" w:pos="1199"/>
          <w:tab w:val="left" w:pos="1201"/>
        </w:tabs>
        <w:ind w:right="754" w:hanging="360"/>
        <w:rPr>
          <w:sz w:val="24"/>
        </w:rPr>
      </w:pPr>
      <w:r>
        <w:rPr>
          <w:sz w:val="24"/>
        </w:rPr>
        <w:t>additional</w:t>
      </w:r>
      <w:r>
        <w:rPr>
          <w:spacing w:val="-8"/>
          <w:sz w:val="24"/>
        </w:rPr>
        <w:t xml:space="preserve"> </w:t>
      </w:r>
      <w:r>
        <w:rPr>
          <w:sz w:val="24"/>
        </w:rPr>
        <w:t>costs,</w:t>
      </w:r>
      <w:r>
        <w:rPr>
          <w:spacing w:val="-8"/>
          <w:sz w:val="24"/>
        </w:rPr>
        <w:t xml:space="preserve"> </w:t>
      </w:r>
      <w:r>
        <w:rPr>
          <w:sz w:val="24"/>
        </w:rPr>
        <w:t>include</w:t>
      </w:r>
      <w:r>
        <w:rPr>
          <w:spacing w:val="-8"/>
          <w:sz w:val="24"/>
        </w:rPr>
        <w:t xml:space="preserve"> </w:t>
      </w:r>
      <w:r>
        <w:rPr>
          <w:sz w:val="24"/>
        </w:rPr>
        <w:t>ground</w:t>
      </w:r>
      <w:r>
        <w:rPr>
          <w:spacing w:val="-7"/>
          <w:sz w:val="24"/>
        </w:rPr>
        <w:t xml:space="preserve"> </w:t>
      </w:r>
      <w:r>
        <w:rPr>
          <w:sz w:val="24"/>
        </w:rPr>
        <w:t>transportation</w:t>
      </w:r>
      <w:r>
        <w:rPr>
          <w:spacing w:val="-7"/>
          <w:sz w:val="24"/>
        </w:rPr>
        <w:t xml:space="preserve"> </w:t>
      </w:r>
      <w:r>
        <w:rPr>
          <w:sz w:val="24"/>
        </w:rPr>
        <w:t>$87,</w:t>
      </w:r>
      <w:r>
        <w:rPr>
          <w:spacing w:val="-7"/>
          <w:sz w:val="24"/>
        </w:rPr>
        <w:t xml:space="preserve"> </w:t>
      </w:r>
      <w:r>
        <w:rPr>
          <w:sz w:val="24"/>
        </w:rPr>
        <w:t>PI</w:t>
      </w:r>
      <w:r>
        <w:rPr>
          <w:spacing w:val="-7"/>
          <w:sz w:val="24"/>
        </w:rPr>
        <w:t xml:space="preserve"> </w:t>
      </w:r>
      <w:r>
        <w:rPr>
          <w:sz w:val="24"/>
        </w:rPr>
        <w:t>registration</w:t>
      </w:r>
      <w:r>
        <w:rPr>
          <w:spacing w:val="-7"/>
          <w:sz w:val="24"/>
        </w:rPr>
        <w:t xml:space="preserve"> </w:t>
      </w:r>
      <w:r>
        <w:rPr>
          <w:sz w:val="24"/>
        </w:rPr>
        <w:t>$480, student registration $255, abstract submissions</w:t>
      </w:r>
      <w:r>
        <w:rPr>
          <w:spacing w:val="-45"/>
          <w:sz w:val="24"/>
        </w:rPr>
        <w:t xml:space="preserve"> </w:t>
      </w:r>
      <w:r>
        <w:rPr>
          <w:sz w:val="24"/>
        </w:rPr>
        <w:t>$130;</w:t>
      </w:r>
    </w:p>
    <w:p w:rsidR="0037596D" w:rsidRDefault="00904D3A">
      <w:pPr>
        <w:pStyle w:val="ListParagraph"/>
        <w:numPr>
          <w:ilvl w:val="1"/>
          <w:numId w:val="1"/>
        </w:numPr>
        <w:tabs>
          <w:tab w:val="left" w:pos="1199"/>
          <w:tab w:val="left" w:pos="1201"/>
        </w:tabs>
        <w:spacing w:before="1"/>
        <w:ind w:hanging="360"/>
        <w:rPr>
          <w:sz w:val="24"/>
        </w:rPr>
      </w:pPr>
      <w:r>
        <w:rPr>
          <w:sz w:val="24"/>
        </w:rPr>
        <w:t>per trip total = $4,528 x 2 years =</w:t>
      </w:r>
      <w:r>
        <w:rPr>
          <w:spacing w:val="-13"/>
          <w:sz w:val="24"/>
        </w:rPr>
        <w:t xml:space="preserve"> </w:t>
      </w:r>
      <w:r>
        <w:rPr>
          <w:sz w:val="24"/>
        </w:rPr>
        <w:t>$9,056</w:t>
      </w:r>
    </w:p>
    <w:p w:rsidR="0037596D" w:rsidRDefault="00904D3A">
      <w:pPr>
        <w:pStyle w:val="ListParagraph"/>
        <w:numPr>
          <w:ilvl w:val="0"/>
          <w:numId w:val="1"/>
        </w:numPr>
        <w:tabs>
          <w:tab w:val="left" w:pos="427"/>
        </w:tabs>
        <w:spacing w:before="158"/>
        <w:ind w:left="426" w:hanging="306"/>
        <w:rPr>
          <w:sz w:val="24"/>
        </w:rPr>
      </w:pPr>
      <w:r>
        <w:rPr>
          <w:b/>
          <w:sz w:val="24"/>
        </w:rPr>
        <w:t xml:space="preserve">Major equipment - </w:t>
      </w:r>
      <w:r>
        <w:rPr>
          <w:sz w:val="24"/>
        </w:rPr>
        <w:t>none</w:t>
      </w:r>
      <w:r>
        <w:rPr>
          <w:spacing w:val="-26"/>
          <w:sz w:val="24"/>
        </w:rPr>
        <w:t xml:space="preserve"> </w:t>
      </w:r>
      <w:r>
        <w:rPr>
          <w:sz w:val="24"/>
        </w:rPr>
        <w:t>requested</w:t>
      </w:r>
    </w:p>
    <w:p w:rsidR="0037596D" w:rsidRDefault="00904D3A">
      <w:pPr>
        <w:pStyle w:val="ListParagraph"/>
        <w:numPr>
          <w:ilvl w:val="0"/>
          <w:numId w:val="1"/>
        </w:numPr>
        <w:tabs>
          <w:tab w:val="left" w:pos="414"/>
        </w:tabs>
        <w:spacing w:before="180"/>
        <w:ind w:left="413" w:hanging="293"/>
        <w:rPr>
          <w:sz w:val="24"/>
        </w:rPr>
      </w:pPr>
      <w:r>
        <w:rPr>
          <w:b/>
          <w:sz w:val="24"/>
        </w:rPr>
        <w:t>Materials &amp; Supplies -</w:t>
      </w:r>
      <w:r>
        <w:rPr>
          <w:b/>
          <w:spacing w:val="-12"/>
          <w:sz w:val="24"/>
        </w:rPr>
        <w:t xml:space="preserve"> </w:t>
      </w:r>
      <w:r>
        <w:rPr>
          <w:sz w:val="24"/>
        </w:rPr>
        <w:t>$141,339</w:t>
      </w:r>
    </w:p>
    <w:p w:rsidR="0037596D" w:rsidRDefault="00904D3A">
      <w:pPr>
        <w:pStyle w:val="BodyText"/>
        <w:spacing w:before="180" w:line="259" w:lineRule="auto"/>
        <w:ind w:left="479" w:right="241"/>
      </w:pPr>
      <w:r>
        <w:t>Funds are requested for materials and supplies to support the project fieldwork and laboratory analysis of samples including: stream temperature loggers and housing (297 at $138 each = $40,986), photosynthetic active radiation sensors (54 at $250 each = $13,500), MiniDot dissolved oxygen sensors (20 at $1,188 each = $23,760), level loggers and barometric pressure loggers (20 at $639 and 2 at $350 respectively = $13,482), and additional field supplies to support the project (HOBO Shuttle, GPS, waders, field camera, SPOT unit, hemispherical lens, water sample bottles, filtering device = $5,771). Sub-total = 97,499 (Year 1)</w:t>
      </w:r>
    </w:p>
    <w:p w:rsidR="0037596D" w:rsidRDefault="00904D3A">
      <w:pPr>
        <w:pStyle w:val="BodyText"/>
        <w:spacing w:before="159" w:line="259" w:lineRule="auto"/>
        <w:ind w:left="479" w:right="202"/>
      </w:pPr>
      <w:r>
        <w:t>Additionally, funds are requested for each of Years 1–4 for supplies used in the field and lab, which are not reusable. Specifically, funds will be used to purchase 25 mm GFF filters (178 at $17/each = $3,089), 4.7 cm glass filters (198 at $2/each = $376), SF6 gas release (832 at $3/each = $2,495), and additional miscellaneous annual supplies (ethanol, centrifuge tubes, butyl stoppers, gas sampling bags, hand crimpers, aluminum crimp seals, serum vials, equipment parts, lab safety items =</w:t>
      </w:r>
    </w:p>
    <w:p w:rsidR="0037596D" w:rsidRDefault="00904D3A">
      <w:pPr>
        <w:pStyle w:val="BodyText"/>
        <w:spacing w:before="1"/>
        <w:ind w:left="479"/>
      </w:pPr>
      <w:r>
        <w:t>$5,000).</w:t>
      </w:r>
    </w:p>
    <w:p w:rsidR="0037596D" w:rsidRDefault="00904D3A">
      <w:pPr>
        <w:pStyle w:val="ListParagraph"/>
        <w:numPr>
          <w:ilvl w:val="0"/>
          <w:numId w:val="1"/>
        </w:numPr>
        <w:tabs>
          <w:tab w:val="left" w:pos="401"/>
        </w:tabs>
        <w:spacing w:before="182"/>
        <w:ind w:left="400" w:hanging="280"/>
        <w:rPr>
          <w:sz w:val="24"/>
        </w:rPr>
      </w:pPr>
      <w:r>
        <w:rPr>
          <w:b/>
          <w:sz w:val="24"/>
        </w:rPr>
        <w:t>Other Direct Costs -</w:t>
      </w:r>
      <w:r>
        <w:rPr>
          <w:b/>
          <w:spacing w:val="-9"/>
          <w:sz w:val="24"/>
        </w:rPr>
        <w:t xml:space="preserve"> </w:t>
      </w:r>
      <w:r>
        <w:rPr>
          <w:sz w:val="24"/>
        </w:rPr>
        <w:t>$104,511</w:t>
      </w:r>
    </w:p>
    <w:p w:rsidR="0037596D" w:rsidRDefault="00904D3A">
      <w:pPr>
        <w:spacing w:before="181"/>
        <w:ind w:left="479"/>
        <w:rPr>
          <w:sz w:val="24"/>
        </w:rPr>
      </w:pPr>
      <w:r>
        <w:rPr>
          <w:b/>
          <w:sz w:val="24"/>
        </w:rPr>
        <w:t xml:space="preserve">Fees and Services - </w:t>
      </w:r>
      <w:r>
        <w:rPr>
          <w:sz w:val="24"/>
        </w:rPr>
        <w:t>$35,640</w:t>
      </w:r>
    </w:p>
    <w:p w:rsidR="0037596D" w:rsidRDefault="00904D3A">
      <w:pPr>
        <w:pStyle w:val="BodyText"/>
        <w:spacing w:before="181" w:line="259" w:lineRule="auto"/>
        <w:ind w:left="480" w:right="179"/>
      </w:pPr>
      <w:r>
        <w:t>Funds are requested in each of Years 1–4 ($8,910/year) for analytical services at the Oregon State University Cooperative Chemical Analytical Laboratory (CCAL), as follows:</w:t>
      </w:r>
    </w:p>
    <w:p w:rsidR="0037596D" w:rsidRDefault="0037596D">
      <w:pPr>
        <w:spacing w:line="259" w:lineRule="auto"/>
        <w:sectPr w:rsidR="0037596D">
          <w:pgSz w:w="12240" w:h="15840"/>
          <w:pgMar w:top="1360" w:right="1320" w:bottom="1380" w:left="1320" w:header="0" w:footer="1193" w:gutter="0"/>
          <w:cols w:space="720"/>
        </w:sectPr>
      </w:pPr>
    </w:p>
    <w:p w:rsidR="0037596D" w:rsidRDefault="0037596D">
      <w:pPr>
        <w:pStyle w:val="BodyText"/>
        <w:spacing w:before="11"/>
        <w:rPr>
          <w:sz w:val="19"/>
        </w:rPr>
      </w:pPr>
    </w:p>
    <w:p w:rsidR="0063662C" w:rsidRPr="0063662C" w:rsidRDefault="00BE308A" w:rsidP="0063662C">
      <w:pPr>
        <w:spacing w:before="100"/>
        <w:ind w:left="540"/>
        <w:rPr>
          <w:sz w:val="13"/>
        </w:rPr>
      </w:pPr>
      <w:r>
        <w:rPr>
          <w:noProof/>
        </w:rPr>
        <mc:AlternateContent>
          <mc:Choice Requires="wps">
            <w:drawing>
              <wp:inline distT="0" distB="0" distL="0" distR="0">
                <wp:extent cx="5390515" cy="786130"/>
                <wp:effectExtent l="0" t="0" r="6985" b="1270"/>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390515" cy="786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3181"/>
                              <w:gridCol w:w="2085"/>
                              <w:gridCol w:w="1412"/>
                              <w:gridCol w:w="1811"/>
                            </w:tblGrid>
                            <w:tr w:rsidR="0037596D" w:rsidTr="0063662C">
                              <w:trPr>
                                <w:trHeight w:hRule="exact" w:val="210"/>
                                <w:tblHeader/>
                              </w:trPr>
                              <w:tc>
                                <w:tcPr>
                                  <w:tcW w:w="3181" w:type="dxa"/>
                                </w:tcPr>
                                <w:p w:rsidR="0037596D" w:rsidRDefault="00904D3A">
                                  <w:pPr>
                                    <w:pStyle w:val="TableParagraph"/>
                                    <w:spacing w:before="0" w:line="226" w:lineRule="exact"/>
                                    <w:ind w:left="517"/>
                                    <w:jc w:val="left"/>
                                    <w:rPr>
                                      <w:rFonts w:ascii="Arial"/>
                                      <w:b/>
                                      <w:sz w:val="20"/>
                                    </w:rPr>
                                  </w:pPr>
                                  <w:r>
                                    <w:rPr>
                                      <w:rFonts w:ascii="Arial"/>
                                      <w:b/>
                                      <w:sz w:val="20"/>
                                    </w:rPr>
                                    <w:t>Water  Quality Parameter</w:t>
                                  </w:r>
                                </w:p>
                              </w:tc>
                              <w:tc>
                                <w:tcPr>
                                  <w:tcW w:w="2085" w:type="dxa"/>
                                </w:tcPr>
                                <w:p w:rsidR="0037596D" w:rsidRDefault="00904D3A">
                                  <w:pPr>
                                    <w:pStyle w:val="TableParagraph"/>
                                    <w:spacing w:before="0" w:line="226" w:lineRule="exact"/>
                                    <w:ind w:right="183"/>
                                    <w:rPr>
                                      <w:rFonts w:ascii="Arial"/>
                                      <w:b/>
                                      <w:sz w:val="20"/>
                                    </w:rPr>
                                  </w:pPr>
                                  <w:r>
                                    <w:rPr>
                                      <w:rFonts w:ascii="Arial"/>
                                      <w:b/>
                                      <w:sz w:val="20"/>
                                    </w:rPr>
                                    <w:t>Cost per sample</w:t>
                                  </w:r>
                                </w:p>
                              </w:tc>
                              <w:tc>
                                <w:tcPr>
                                  <w:tcW w:w="1412" w:type="dxa"/>
                                </w:tcPr>
                                <w:p w:rsidR="0037596D" w:rsidRDefault="00904D3A">
                                  <w:pPr>
                                    <w:pStyle w:val="TableParagraph"/>
                                    <w:spacing w:before="0" w:line="226" w:lineRule="exact"/>
                                    <w:ind w:left="185" w:right="218"/>
                                    <w:jc w:val="center"/>
                                    <w:rPr>
                                      <w:rFonts w:ascii="Arial"/>
                                      <w:b/>
                                      <w:sz w:val="20"/>
                                    </w:rPr>
                                  </w:pPr>
                                  <w:r>
                                    <w:rPr>
                                      <w:rFonts w:ascii="Arial"/>
                                      <w:b/>
                                      <w:sz w:val="20"/>
                                    </w:rPr>
                                    <w:t># samples</w:t>
                                  </w:r>
                                </w:p>
                              </w:tc>
                              <w:tc>
                                <w:tcPr>
                                  <w:tcW w:w="1811" w:type="dxa"/>
                                </w:tcPr>
                                <w:p w:rsidR="0037596D" w:rsidRDefault="00904D3A">
                                  <w:pPr>
                                    <w:pStyle w:val="TableParagraph"/>
                                    <w:spacing w:before="0" w:line="226" w:lineRule="exact"/>
                                    <w:ind w:left="123"/>
                                    <w:jc w:val="center"/>
                                    <w:rPr>
                                      <w:rFonts w:ascii="Arial"/>
                                      <w:b/>
                                      <w:sz w:val="20"/>
                                    </w:rPr>
                                  </w:pPr>
                                  <w:r>
                                    <w:rPr>
                                      <w:rFonts w:ascii="Arial"/>
                                      <w:b/>
                                      <w:sz w:val="20"/>
                                    </w:rPr>
                                    <w:t>Total cost</w:t>
                                  </w:r>
                                </w:p>
                              </w:tc>
                            </w:tr>
                            <w:tr w:rsidR="0037596D" w:rsidTr="0063662C">
                              <w:trPr>
                                <w:trHeight w:hRule="exact" w:val="266"/>
                                <w:tblHeader/>
                              </w:trPr>
                              <w:tc>
                                <w:tcPr>
                                  <w:tcW w:w="3181" w:type="dxa"/>
                                </w:tcPr>
                                <w:p w:rsidR="0037596D" w:rsidRDefault="00904D3A">
                                  <w:pPr>
                                    <w:pStyle w:val="TableParagraph"/>
                                    <w:spacing w:before="0" w:line="240" w:lineRule="exact"/>
                                    <w:ind w:left="37"/>
                                    <w:jc w:val="left"/>
                                    <w:rPr>
                                      <w:rFonts w:ascii="Arial"/>
                                      <w:sz w:val="20"/>
                                    </w:rPr>
                                  </w:pPr>
                                  <w:r>
                                    <w:rPr>
                                      <w:rFonts w:ascii="Arial"/>
                                      <w:sz w:val="20"/>
                                    </w:rPr>
                                    <w:t xml:space="preserve">Nitrogen (NO </w:t>
                                  </w:r>
                                  <w:r>
                                    <w:rPr>
                                      <w:rFonts w:ascii="Arial"/>
                                      <w:position w:val="9"/>
                                      <w:sz w:val="13"/>
                                    </w:rPr>
                                    <w:t>-</w:t>
                                  </w:r>
                                  <w:r>
                                    <w:rPr>
                                      <w:rFonts w:ascii="Arial"/>
                                      <w:sz w:val="20"/>
                                    </w:rPr>
                                    <w:t>)</w:t>
                                  </w:r>
                                </w:p>
                              </w:tc>
                              <w:tc>
                                <w:tcPr>
                                  <w:tcW w:w="2085" w:type="dxa"/>
                                </w:tcPr>
                                <w:p w:rsidR="0037596D" w:rsidRDefault="00904D3A">
                                  <w:pPr>
                                    <w:pStyle w:val="TableParagraph"/>
                                    <w:tabs>
                                      <w:tab w:val="left" w:pos="1252"/>
                                    </w:tabs>
                                    <w:spacing w:before="10"/>
                                    <w:ind w:right="253"/>
                                    <w:rPr>
                                      <w:rFonts w:ascii="Arial"/>
                                      <w:sz w:val="20"/>
                                    </w:rPr>
                                  </w:pPr>
                                  <w:r>
                                    <w:rPr>
                                      <w:rFonts w:ascii="Arial"/>
                                      <w:sz w:val="20"/>
                                    </w:rPr>
                                    <w:t>$</w:t>
                                  </w:r>
                                  <w:r>
                                    <w:rPr>
                                      <w:rFonts w:ascii="Arial"/>
                                      <w:sz w:val="20"/>
                                    </w:rPr>
                                    <w:tab/>
                                    <w:t>18</w:t>
                                  </w:r>
                                </w:p>
                              </w:tc>
                              <w:tc>
                                <w:tcPr>
                                  <w:tcW w:w="1412" w:type="dxa"/>
                                </w:tcPr>
                                <w:p w:rsidR="0037596D" w:rsidRDefault="00904D3A">
                                  <w:pPr>
                                    <w:pStyle w:val="TableParagraph"/>
                                    <w:spacing w:before="10"/>
                                    <w:ind w:left="185" w:right="208"/>
                                    <w:jc w:val="center"/>
                                    <w:rPr>
                                      <w:rFonts w:ascii="Arial"/>
                                      <w:sz w:val="20"/>
                                    </w:rPr>
                                  </w:pPr>
                                  <w:r>
                                    <w:rPr>
                                      <w:rFonts w:ascii="Arial"/>
                                      <w:sz w:val="20"/>
                                    </w:rPr>
                                    <w:t>162</w:t>
                                  </w:r>
                                </w:p>
                              </w:tc>
                              <w:tc>
                                <w:tcPr>
                                  <w:tcW w:w="1811" w:type="dxa"/>
                                </w:tcPr>
                                <w:p w:rsidR="0037596D" w:rsidRDefault="00904D3A">
                                  <w:pPr>
                                    <w:pStyle w:val="TableParagraph"/>
                                    <w:tabs>
                                      <w:tab w:val="left" w:pos="1093"/>
                                    </w:tabs>
                                    <w:spacing w:before="10"/>
                                    <w:ind w:left="132"/>
                                    <w:jc w:val="center"/>
                                    <w:rPr>
                                      <w:rFonts w:ascii="Arial"/>
                                      <w:sz w:val="20"/>
                                    </w:rPr>
                                  </w:pPr>
                                  <w:r>
                                    <w:rPr>
                                      <w:rFonts w:ascii="Arial"/>
                                      <w:sz w:val="20"/>
                                    </w:rPr>
                                    <w:t>$</w:t>
                                  </w:r>
                                  <w:r>
                                    <w:rPr>
                                      <w:rFonts w:ascii="Arial"/>
                                      <w:sz w:val="20"/>
                                    </w:rPr>
                                    <w:tab/>
                                    <w:t>2,916</w:t>
                                  </w:r>
                                </w:p>
                              </w:tc>
                            </w:tr>
                            <w:tr w:rsidR="0037596D" w:rsidTr="0063662C">
                              <w:trPr>
                                <w:trHeight w:hRule="exact" w:val="262"/>
                                <w:tblHeader/>
                              </w:trPr>
                              <w:tc>
                                <w:tcPr>
                                  <w:tcW w:w="3181" w:type="dxa"/>
                                </w:tcPr>
                                <w:p w:rsidR="0037596D" w:rsidRDefault="00904D3A">
                                  <w:pPr>
                                    <w:pStyle w:val="TableParagraph"/>
                                    <w:spacing w:before="21"/>
                                    <w:ind w:left="37"/>
                                    <w:jc w:val="left"/>
                                    <w:rPr>
                                      <w:rFonts w:ascii="Arial"/>
                                      <w:sz w:val="20"/>
                                    </w:rPr>
                                  </w:pPr>
                                  <w:r>
                                    <w:rPr>
                                      <w:rFonts w:ascii="Arial"/>
                                      <w:sz w:val="20"/>
                                    </w:rPr>
                                    <w:t>Phosphorus (ortho-phosphate)</w:t>
                                  </w:r>
                                </w:p>
                              </w:tc>
                              <w:tc>
                                <w:tcPr>
                                  <w:tcW w:w="2085" w:type="dxa"/>
                                </w:tcPr>
                                <w:p w:rsidR="0037596D" w:rsidRDefault="00904D3A">
                                  <w:pPr>
                                    <w:pStyle w:val="TableParagraph"/>
                                    <w:tabs>
                                      <w:tab w:val="left" w:pos="1252"/>
                                    </w:tabs>
                                    <w:spacing w:before="21"/>
                                    <w:ind w:right="253"/>
                                    <w:rPr>
                                      <w:rFonts w:ascii="Arial"/>
                                      <w:sz w:val="20"/>
                                    </w:rPr>
                                  </w:pPr>
                                  <w:r>
                                    <w:rPr>
                                      <w:rFonts w:ascii="Arial"/>
                                      <w:sz w:val="20"/>
                                    </w:rPr>
                                    <w:t>$</w:t>
                                  </w:r>
                                  <w:r>
                                    <w:rPr>
                                      <w:rFonts w:ascii="Arial"/>
                                      <w:sz w:val="20"/>
                                    </w:rPr>
                                    <w:tab/>
                                    <w:t>18</w:t>
                                  </w:r>
                                </w:p>
                              </w:tc>
                              <w:tc>
                                <w:tcPr>
                                  <w:tcW w:w="1412" w:type="dxa"/>
                                </w:tcPr>
                                <w:p w:rsidR="0037596D" w:rsidRDefault="00904D3A">
                                  <w:pPr>
                                    <w:pStyle w:val="TableParagraph"/>
                                    <w:spacing w:before="21"/>
                                    <w:ind w:left="185" w:right="208"/>
                                    <w:jc w:val="center"/>
                                    <w:rPr>
                                      <w:rFonts w:ascii="Arial"/>
                                      <w:sz w:val="20"/>
                                    </w:rPr>
                                  </w:pPr>
                                  <w:r>
                                    <w:rPr>
                                      <w:rFonts w:ascii="Arial"/>
                                      <w:sz w:val="20"/>
                                    </w:rPr>
                                    <w:t>162</w:t>
                                  </w:r>
                                </w:p>
                              </w:tc>
                              <w:tc>
                                <w:tcPr>
                                  <w:tcW w:w="1811" w:type="dxa"/>
                                </w:tcPr>
                                <w:p w:rsidR="0037596D" w:rsidRDefault="00904D3A">
                                  <w:pPr>
                                    <w:pStyle w:val="TableParagraph"/>
                                    <w:tabs>
                                      <w:tab w:val="left" w:pos="1093"/>
                                    </w:tabs>
                                    <w:spacing w:before="21"/>
                                    <w:ind w:left="132"/>
                                    <w:jc w:val="center"/>
                                    <w:rPr>
                                      <w:rFonts w:ascii="Arial"/>
                                      <w:sz w:val="20"/>
                                    </w:rPr>
                                  </w:pPr>
                                  <w:r>
                                    <w:rPr>
                                      <w:rFonts w:ascii="Arial"/>
                                      <w:sz w:val="20"/>
                                    </w:rPr>
                                    <w:t>$</w:t>
                                  </w:r>
                                  <w:r>
                                    <w:rPr>
                                      <w:rFonts w:ascii="Arial"/>
                                      <w:sz w:val="20"/>
                                    </w:rPr>
                                    <w:tab/>
                                    <w:t>2,916</w:t>
                                  </w:r>
                                </w:p>
                              </w:tc>
                            </w:tr>
                            <w:tr w:rsidR="0037596D" w:rsidTr="0063662C">
                              <w:trPr>
                                <w:trHeight w:hRule="exact" w:val="260"/>
                                <w:tblHeader/>
                              </w:trPr>
                              <w:tc>
                                <w:tcPr>
                                  <w:tcW w:w="3181" w:type="dxa"/>
                                  <w:tcBorders>
                                    <w:bottom w:val="single" w:sz="6" w:space="0" w:color="000000"/>
                                  </w:tcBorders>
                                </w:tcPr>
                                <w:p w:rsidR="0037596D" w:rsidRDefault="00904D3A">
                                  <w:pPr>
                                    <w:pStyle w:val="TableParagraph"/>
                                    <w:spacing w:before="6"/>
                                    <w:ind w:left="37"/>
                                    <w:jc w:val="left"/>
                                    <w:rPr>
                                      <w:rFonts w:ascii="Arial"/>
                                      <w:sz w:val="20"/>
                                    </w:rPr>
                                  </w:pPr>
                                  <w:r>
                                    <w:rPr>
                                      <w:rFonts w:ascii="Arial"/>
                                      <w:sz w:val="20"/>
                                    </w:rPr>
                                    <w:t>DOC</w:t>
                                  </w:r>
                                </w:p>
                              </w:tc>
                              <w:tc>
                                <w:tcPr>
                                  <w:tcW w:w="2085" w:type="dxa"/>
                                  <w:tcBorders>
                                    <w:bottom w:val="single" w:sz="6" w:space="0" w:color="000000"/>
                                  </w:tcBorders>
                                </w:tcPr>
                                <w:p w:rsidR="0037596D" w:rsidRDefault="00904D3A">
                                  <w:pPr>
                                    <w:pStyle w:val="TableParagraph"/>
                                    <w:tabs>
                                      <w:tab w:val="left" w:pos="1259"/>
                                    </w:tabs>
                                    <w:spacing w:before="6"/>
                                    <w:ind w:right="253"/>
                                    <w:rPr>
                                      <w:rFonts w:ascii="Arial"/>
                                      <w:sz w:val="20"/>
                                    </w:rPr>
                                  </w:pPr>
                                  <w:r>
                                    <w:rPr>
                                      <w:rFonts w:ascii="Arial"/>
                                      <w:sz w:val="20"/>
                                    </w:rPr>
                                    <w:t>$</w:t>
                                  </w:r>
                                  <w:r>
                                    <w:rPr>
                                      <w:rFonts w:ascii="Arial"/>
                                      <w:sz w:val="20"/>
                                    </w:rPr>
                                    <w:tab/>
                                    <w:t>19</w:t>
                                  </w:r>
                                </w:p>
                              </w:tc>
                              <w:tc>
                                <w:tcPr>
                                  <w:tcW w:w="1412" w:type="dxa"/>
                                  <w:tcBorders>
                                    <w:bottom w:val="single" w:sz="6" w:space="0" w:color="000000"/>
                                  </w:tcBorders>
                                </w:tcPr>
                                <w:p w:rsidR="0037596D" w:rsidRDefault="00904D3A">
                                  <w:pPr>
                                    <w:pStyle w:val="TableParagraph"/>
                                    <w:spacing w:before="6"/>
                                    <w:ind w:left="185" w:right="208"/>
                                    <w:jc w:val="center"/>
                                    <w:rPr>
                                      <w:rFonts w:ascii="Arial"/>
                                      <w:sz w:val="20"/>
                                    </w:rPr>
                                  </w:pPr>
                                  <w:r>
                                    <w:rPr>
                                      <w:rFonts w:ascii="Arial"/>
                                      <w:sz w:val="20"/>
                                    </w:rPr>
                                    <w:t>162</w:t>
                                  </w:r>
                                </w:p>
                              </w:tc>
                              <w:tc>
                                <w:tcPr>
                                  <w:tcW w:w="1811" w:type="dxa"/>
                                  <w:tcBorders>
                                    <w:bottom w:val="single" w:sz="6" w:space="0" w:color="000000"/>
                                  </w:tcBorders>
                                </w:tcPr>
                                <w:p w:rsidR="0037596D" w:rsidRDefault="00904D3A">
                                  <w:pPr>
                                    <w:pStyle w:val="TableParagraph"/>
                                    <w:tabs>
                                      <w:tab w:val="left" w:pos="1093"/>
                                    </w:tabs>
                                    <w:spacing w:before="6"/>
                                    <w:ind w:left="132"/>
                                    <w:jc w:val="center"/>
                                    <w:rPr>
                                      <w:rFonts w:ascii="Arial"/>
                                      <w:sz w:val="20"/>
                                    </w:rPr>
                                  </w:pPr>
                                  <w:r>
                                    <w:rPr>
                                      <w:rFonts w:ascii="Arial"/>
                                      <w:sz w:val="20"/>
                                    </w:rPr>
                                    <w:t>$</w:t>
                                  </w:r>
                                  <w:r>
                                    <w:rPr>
                                      <w:rFonts w:ascii="Arial"/>
                                      <w:sz w:val="20"/>
                                    </w:rPr>
                                    <w:tab/>
                                    <w:t>3,078</w:t>
                                  </w:r>
                                </w:p>
                              </w:tc>
                            </w:tr>
                            <w:tr w:rsidR="0037596D" w:rsidTr="0063662C">
                              <w:trPr>
                                <w:trHeight w:hRule="exact" w:val="240"/>
                                <w:tblHeader/>
                              </w:trPr>
                              <w:tc>
                                <w:tcPr>
                                  <w:tcW w:w="3181" w:type="dxa"/>
                                  <w:tcBorders>
                                    <w:top w:val="single" w:sz="6" w:space="0" w:color="000000"/>
                                  </w:tcBorders>
                                </w:tcPr>
                                <w:p w:rsidR="0037596D" w:rsidRDefault="0037596D"/>
                              </w:tc>
                              <w:tc>
                                <w:tcPr>
                                  <w:tcW w:w="2085" w:type="dxa"/>
                                  <w:tcBorders>
                                    <w:top w:val="single" w:sz="6" w:space="0" w:color="000000"/>
                                  </w:tcBorders>
                                </w:tcPr>
                                <w:p w:rsidR="0037596D" w:rsidRDefault="0037596D"/>
                              </w:tc>
                              <w:tc>
                                <w:tcPr>
                                  <w:tcW w:w="1412" w:type="dxa"/>
                                  <w:tcBorders>
                                    <w:top w:val="single" w:sz="6" w:space="0" w:color="000000"/>
                                  </w:tcBorders>
                                </w:tcPr>
                                <w:p w:rsidR="0037596D" w:rsidRDefault="0037596D"/>
                              </w:tc>
                              <w:tc>
                                <w:tcPr>
                                  <w:tcW w:w="1811" w:type="dxa"/>
                                  <w:tcBorders>
                                    <w:top w:val="single" w:sz="6" w:space="0" w:color="000000"/>
                                  </w:tcBorders>
                                </w:tcPr>
                                <w:p w:rsidR="0037596D" w:rsidRDefault="00904D3A">
                                  <w:pPr>
                                    <w:pStyle w:val="TableParagraph"/>
                                    <w:tabs>
                                      <w:tab w:val="left" w:pos="1092"/>
                                    </w:tabs>
                                    <w:spacing w:before="2"/>
                                    <w:ind w:left="116"/>
                                    <w:jc w:val="center"/>
                                    <w:rPr>
                                      <w:rFonts w:ascii="Arial"/>
                                      <w:sz w:val="20"/>
                                    </w:rPr>
                                  </w:pPr>
                                  <w:r>
                                    <w:rPr>
                                      <w:rFonts w:ascii="Arial"/>
                                      <w:sz w:val="20"/>
                                    </w:rPr>
                                    <w:t>$</w:t>
                                  </w:r>
                                  <w:r>
                                    <w:rPr>
                                      <w:rFonts w:ascii="Arial"/>
                                      <w:sz w:val="20"/>
                                    </w:rPr>
                                    <w:tab/>
                                    <w:t>8,910</w:t>
                                  </w:r>
                                </w:p>
                              </w:tc>
                            </w:tr>
                          </w:tbl>
                          <w:p w:rsidR="0037596D" w:rsidRDefault="0037596D">
                            <w:pPr>
                              <w:pStyle w:val="BodyText"/>
                            </w:pPr>
                          </w:p>
                        </w:txbxContent>
                      </wps:txbx>
                      <wps:bodyPr rot="0" vert="horz" wrap="square" lIns="0" tIns="0" rIns="0" bIns="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2" o:spid="_x0000_s1026" type="#_x0000_t202" style="width:424.45pt;height:6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" filled="f" stroked="f">
                <v:path arrowok="t"/>
                <v:textbox inset="0,0,0,0">
                  <w:txbxContent>
                    <w:tbl>
                      <w:tblPr>
                        <w:tblW w:w="0" w:type="auto"/>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3181"/>
                        <w:gridCol w:w="2085"/>
                        <w:gridCol w:w="1412"/>
                        <w:gridCol w:w="1811"/>
                      </w:tblGrid>
                      <w:tr w:rsidR="0037596D" w:rsidTr="0063662C">
                        <w:trPr>
                          <w:trHeight w:hRule="exact" w:val="210"/>
                          <w:tblHeader/>
                        </w:trPr>
                        <w:tc>
                          <w:tcPr>
                            <w:tcW w:w="3181" w:type="dxa"/>
                          </w:tcPr>
                          <w:p w:rsidR="0037596D" w:rsidRDefault="00904D3A">
                            <w:pPr>
                              <w:pStyle w:val="TableParagraph"/>
                              <w:spacing w:before="0" w:line="226" w:lineRule="exact"/>
                              <w:ind w:left="517"/>
                              <w:jc w:val="left"/>
                              <w:rPr>
                                <w:rFonts w:ascii="Arial"/>
                                <w:b/>
                                <w:sz w:val="20"/>
                              </w:rPr>
                            </w:pPr>
                            <w:r>
                              <w:rPr>
                                <w:rFonts w:ascii="Arial"/>
                                <w:b/>
                                <w:sz w:val="20"/>
                              </w:rPr>
                              <w:t>Water  Quality Parameter</w:t>
                            </w:r>
                          </w:p>
                        </w:tc>
                        <w:tc>
                          <w:tcPr>
                            <w:tcW w:w="2085" w:type="dxa"/>
                          </w:tcPr>
                          <w:p w:rsidR="0037596D" w:rsidRDefault="00904D3A">
                            <w:pPr>
                              <w:pStyle w:val="TableParagraph"/>
                              <w:spacing w:before="0" w:line="226" w:lineRule="exact"/>
                              <w:ind w:right="183"/>
                              <w:rPr>
                                <w:rFonts w:ascii="Arial"/>
                                <w:b/>
                                <w:sz w:val="20"/>
                              </w:rPr>
                            </w:pPr>
                            <w:r>
                              <w:rPr>
                                <w:rFonts w:ascii="Arial"/>
                                <w:b/>
                                <w:sz w:val="20"/>
                              </w:rPr>
                              <w:t>Cost per sample</w:t>
                            </w:r>
                          </w:p>
                        </w:tc>
                        <w:tc>
                          <w:tcPr>
                            <w:tcW w:w="1412" w:type="dxa"/>
                          </w:tcPr>
                          <w:p w:rsidR="0037596D" w:rsidRDefault="00904D3A">
                            <w:pPr>
                              <w:pStyle w:val="TableParagraph"/>
                              <w:spacing w:before="0" w:line="226" w:lineRule="exact"/>
                              <w:ind w:left="185" w:right="218"/>
                              <w:jc w:val="center"/>
                              <w:rPr>
                                <w:rFonts w:ascii="Arial"/>
                                <w:b/>
                                <w:sz w:val="20"/>
                              </w:rPr>
                            </w:pPr>
                            <w:r>
                              <w:rPr>
                                <w:rFonts w:ascii="Arial"/>
                                <w:b/>
                                <w:sz w:val="20"/>
                              </w:rPr>
                              <w:t># samples</w:t>
                            </w:r>
                          </w:p>
                        </w:tc>
                        <w:tc>
                          <w:tcPr>
                            <w:tcW w:w="1811" w:type="dxa"/>
                          </w:tcPr>
                          <w:p w:rsidR="0037596D" w:rsidRDefault="00904D3A">
                            <w:pPr>
                              <w:pStyle w:val="TableParagraph"/>
                              <w:spacing w:before="0" w:line="226" w:lineRule="exact"/>
                              <w:ind w:left="123"/>
                              <w:jc w:val="center"/>
                              <w:rPr>
                                <w:rFonts w:ascii="Arial"/>
                                <w:b/>
                                <w:sz w:val="20"/>
                              </w:rPr>
                            </w:pPr>
                            <w:r>
                              <w:rPr>
                                <w:rFonts w:ascii="Arial"/>
                                <w:b/>
                                <w:sz w:val="20"/>
                              </w:rPr>
                              <w:t>Total cost</w:t>
                            </w:r>
                          </w:p>
                        </w:tc>
                      </w:tr>
                      <w:tr w:rsidR="0037596D" w:rsidTr="0063662C">
                        <w:trPr>
                          <w:trHeight w:hRule="exact" w:val="266"/>
                          <w:tblHeader/>
                        </w:trPr>
                        <w:tc>
                          <w:tcPr>
                            <w:tcW w:w="3181" w:type="dxa"/>
                          </w:tcPr>
                          <w:p w:rsidR="0037596D" w:rsidRDefault="00904D3A">
                            <w:pPr>
                              <w:pStyle w:val="TableParagraph"/>
                              <w:spacing w:before="0" w:line="240" w:lineRule="exact"/>
                              <w:ind w:left="37"/>
                              <w:jc w:val="left"/>
                              <w:rPr>
                                <w:rFonts w:ascii="Arial"/>
                                <w:sz w:val="20"/>
                              </w:rPr>
                            </w:pPr>
                            <w:r>
                              <w:rPr>
                                <w:rFonts w:ascii="Arial"/>
                                <w:sz w:val="20"/>
                              </w:rPr>
                              <w:t xml:space="preserve">Nitrogen (NO </w:t>
                            </w:r>
                            <w:r>
                              <w:rPr>
                                <w:rFonts w:ascii="Arial"/>
                                <w:position w:val="9"/>
                                <w:sz w:val="13"/>
                              </w:rPr>
                              <w:t>-</w:t>
                            </w:r>
                            <w:r>
                              <w:rPr>
                                <w:rFonts w:ascii="Arial"/>
                                <w:sz w:val="20"/>
                              </w:rPr>
                              <w:t>)</w:t>
                            </w:r>
                          </w:p>
                        </w:tc>
                        <w:tc>
                          <w:tcPr>
                            <w:tcW w:w="2085" w:type="dxa"/>
                          </w:tcPr>
                          <w:p w:rsidR="0037596D" w:rsidRDefault="00904D3A">
                            <w:pPr>
                              <w:pStyle w:val="TableParagraph"/>
                              <w:tabs>
                                <w:tab w:val="left" w:pos="1252"/>
                              </w:tabs>
                              <w:spacing w:before="10"/>
                              <w:ind w:right="253"/>
                              <w:rPr>
                                <w:rFonts w:ascii="Arial"/>
                                <w:sz w:val="20"/>
                              </w:rPr>
                            </w:pPr>
                            <w:r>
                              <w:rPr>
                                <w:rFonts w:ascii="Arial"/>
                                <w:sz w:val="20"/>
                              </w:rPr>
                              <w:t>$</w:t>
                            </w:r>
                            <w:r>
                              <w:rPr>
                                <w:rFonts w:ascii="Arial"/>
                                <w:sz w:val="20"/>
                              </w:rPr>
                              <w:tab/>
                              <w:t>18</w:t>
                            </w:r>
                          </w:p>
                        </w:tc>
                        <w:tc>
                          <w:tcPr>
                            <w:tcW w:w="1412" w:type="dxa"/>
                          </w:tcPr>
                          <w:p w:rsidR="0037596D" w:rsidRDefault="00904D3A">
                            <w:pPr>
                              <w:pStyle w:val="TableParagraph"/>
                              <w:spacing w:before="10"/>
                              <w:ind w:left="185" w:right="208"/>
                              <w:jc w:val="center"/>
                              <w:rPr>
                                <w:rFonts w:ascii="Arial"/>
                                <w:sz w:val="20"/>
                              </w:rPr>
                            </w:pPr>
                            <w:r>
                              <w:rPr>
                                <w:rFonts w:ascii="Arial"/>
                                <w:sz w:val="20"/>
                              </w:rPr>
                              <w:t>162</w:t>
                            </w:r>
                          </w:p>
                        </w:tc>
                        <w:tc>
                          <w:tcPr>
                            <w:tcW w:w="1811" w:type="dxa"/>
                          </w:tcPr>
                          <w:p w:rsidR="0037596D" w:rsidRDefault="00904D3A">
                            <w:pPr>
                              <w:pStyle w:val="TableParagraph"/>
                              <w:tabs>
                                <w:tab w:val="left" w:pos="1093"/>
                              </w:tabs>
                              <w:spacing w:before="10"/>
                              <w:ind w:left="132"/>
                              <w:jc w:val="center"/>
                              <w:rPr>
                                <w:rFonts w:ascii="Arial"/>
                                <w:sz w:val="20"/>
                              </w:rPr>
                            </w:pPr>
                            <w:r>
                              <w:rPr>
                                <w:rFonts w:ascii="Arial"/>
                                <w:sz w:val="20"/>
                              </w:rPr>
                              <w:t>$</w:t>
                            </w:r>
                            <w:r>
                              <w:rPr>
                                <w:rFonts w:ascii="Arial"/>
                                <w:sz w:val="20"/>
                              </w:rPr>
                              <w:tab/>
                              <w:t>2,916</w:t>
                            </w:r>
                          </w:p>
                        </w:tc>
                      </w:tr>
                      <w:tr w:rsidR="0037596D" w:rsidTr="0063662C">
                        <w:trPr>
                          <w:trHeight w:hRule="exact" w:val="262"/>
                          <w:tblHeader/>
                        </w:trPr>
                        <w:tc>
                          <w:tcPr>
                            <w:tcW w:w="3181" w:type="dxa"/>
                          </w:tcPr>
                          <w:p w:rsidR="0037596D" w:rsidRDefault="00904D3A">
                            <w:pPr>
                              <w:pStyle w:val="TableParagraph"/>
                              <w:spacing w:before="21"/>
                              <w:ind w:left="37"/>
                              <w:jc w:val="left"/>
                              <w:rPr>
                                <w:rFonts w:ascii="Arial"/>
                                <w:sz w:val="20"/>
                              </w:rPr>
                            </w:pPr>
                            <w:r>
                              <w:rPr>
                                <w:rFonts w:ascii="Arial"/>
                                <w:sz w:val="20"/>
                              </w:rPr>
                              <w:t>Phosphorus (ortho-phosphate)</w:t>
                            </w:r>
                          </w:p>
                        </w:tc>
                        <w:tc>
                          <w:tcPr>
                            <w:tcW w:w="2085" w:type="dxa"/>
                          </w:tcPr>
                          <w:p w:rsidR="0037596D" w:rsidRDefault="00904D3A">
                            <w:pPr>
                              <w:pStyle w:val="TableParagraph"/>
                              <w:tabs>
                                <w:tab w:val="left" w:pos="1252"/>
                              </w:tabs>
                              <w:spacing w:before="21"/>
                              <w:ind w:right="253"/>
                              <w:rPr>
                                <w:rFonts w:ascii="Arial"/>
                                <w:sz w:val="20"/>
                              </w:rPr>
                            </w:pPr>
                            <w:r>
                              <w:rPr>
                                <w:rFonts w:ascii="Arial"/>
                                <w:sz w:val="20"/>
                              </w:rPr>
                              <w:t>$</w:t>
                            </w:r>
                            <w:r>
                              <w:rPr>
                                <w:rFonts w:ascii="Arial"/>
                                <w:sz w:val="20"/>
                              </w:rPr>
                              <w:tab/>
                              <w:t>18</w:t>
                            </w:r>
                          </w:p>
                        </w:tc>
                        <w:tc>
                          <w:tcPr>
                            <w:tcW w:w="1412" w:type="dxa"/>
                          </w:tcPr>
                          <w:p w:rsidR="0037596D" w:rsidRDefault="00904D3A">
                            <w:pPr>
                              <w:pStyle w:val="TableParagraph"/>
                              <w:spacing w:before="21"/>
                              <w:ind w:left="185" w:right="208"/>
                              <w:jc w:val="center"/>
                              <w:rPr>
                                <w:rFonts w:ascii="Arial"/>
                                <w:sz w:val="20"/>
                              </w:rPr>
                            </w:pPr>
                            <w:r>
                              <w:rPr>
                                <w:rFonts w:ascii="Arial"/>
                                <w:sz w:val="20"/>
                              </w:rPr>
                              <w:t>162</w:t>
                            </w:r>
                          </w:p>
                        </w:tc>
                        <w:tc>
                          <w:tcPr>
                            <w:tcW w:w="1811" w:type="dxa"/>
                          </w:tcPr>
                          <w:p w:rsidR="0037596D" w:rsidRDefault="00904D3A">
                            <w:pPr>
                              <w:pStyle w:val="TableParagraph"/>
                              <w:tabs>
                                <w:tab w:val="left" w:pos="1093"/>
                              </w:tabs>
                              <w:spacing w:before="21"/>
                              <w:ind w:left="132"/>
                              <w:jc w:val="center"/>
                              <w:rPr>
                                <w:rFonts w:ascii="Arial"/>
                                <w:sz w:val="20"/>
                              </w:rPr>
                            </w:pPr>
                            <w:r>
                              <w:rPr>
                                <w:rFonts w:ascii="Arial"/>
                                <w:sz w:val="20"/>
                              </w:rPr>
                              <w:t>$</w:t>
                            </w:r>
                            <w:r>
                              <w:rPr>
                                <w:rFonts w:ascii="Arial"/>
                                <w:sz w:val="20"/>
                              </w:rPr>
                              <w:tab/>
                              <w:t>2,916</w:t>
                            </w:r>
                          </w:p>
                        </w:tc>
                      </w:tr>
                      <w:tr w:rsidR="0037596D" w:rsidTr="0063662C">
                        <w:trPr>
                          <w:trHeight w:hRule="exact" w:val="260"/>
                          <w:tblHeader/>
                        </w:trPr>
                        <w:tc>
                          <w:tcPr>
                            <w:tcW w:w="3181" w:type="dxa"/>
                            <w:tcBorders>
                              <w:bottom w:val="single" w:sz="6" w:space="0" w:color="000000"/>
                            </w:tcBorders>
                          </w:tcPr>
                          <w:p w:rsidR="0037596D" w:rsidRDefault="00904D3A">
                            <w:pPr>
                              <w:pStyle w:val="TableParagraph"/>
                              <w:spacing w:before="6"/>
                              <w:ind w:left="37"/>
                              <w:jc w:val="left"/>
                              <w:rPr>
                                <w:rFonts w:ascii="Arial"/>
                                <w:sz w:val="20"/>
                              </w:rPr>
                            </w:pPr>
                            <w:r>
                              <w:rPr>
                                <w:rFonts w:ascii="Arial"/>
                                <w:sz w:val="20"/>
                              </w:rPr>
                              <w:t>DOC</w:t>
                            </w:r>
                          </w:p>
                        </w:tc>
                        <w:tc>
                          <w:tcPr>
                            <w:tcW w:w="2085" w:type="dxa"/>
                            <w:tcBorders>
                              <w:bottom w:val="single" w:sz="6" w:space="0" w:color="000000"/>
                            </w:tcBorders>
                          </w:tcPr>
                          <w:p w:rsidR="0037596D" w:rsidRDefault="00904D3A">
                            <w:pPr>
                              <w:pStyle w:val="TableParagraph"/>
                              <w:tabs>
                                <w:tab w:val="left" w:pos="1259"/>
                              </w:tabs>
                              <w:spacing w:before="6"/>
                              <w:ind w:right="253"/>
                              <w:rPr>
                                <w:rFonts w:ascii="Arial"/>
                                <w:sz w:val="20"/>
                              </w:rPr>
                            </w:pPr>
                            <w:r>
                              <w:rPr>
                                <w:rFonts w:ascii="Arial"/>
                                <w:sz w:val="20"/>
                              </w:rPr>
                              <w:t>$</w:t>
                            </w:r>
                            <w:r>
                              <w:rPr>
                                <w:rFonts w:ascii="Arial"/>
                                <w:sz w:val="20"/>
                              </w:rPr>
                              <w:tab/>
                              <w:t>19</w:t>
                            </w:r>
                          </w:p>
                        </w:tc>
                        <w:tc>
                          <w:tcPr>
                            <w:tcW w:w="1412" w:type="dxa"/>
                            <w:tcBorders>
                              <w:bottom w:val="single" w:sz="6" w:space="0" w:color="000000"/>
                            </w:tcBorders>
                          </w:tcPr>
                          <w:p w:rsidR="0037596D" w:rsidRDefault="00904D3A">
                            <w:pPr>
                              <w:pStyle w:val="TableParagraph"/>
                              <w:spacing w:before="6"/>
                              <w:ind w:left="185" w:right="208"/>
                              <w:jc w:val="center"/>
                              <w:rPr>
                                <w:rFonts w:ascii="Arial"/>
                                <w:sz w:val="20"/>
                              </w:rPr>
                            </w:pPr>
                            <w:r>
                              <w:rPr>
                                <w:rFonts w:ascii="Arial"/>
                                <w:sz w:val="20"/>
                              </w:rPr>
                              <w:t>162</w:t>
                            </w:r>
                          </w:p>
                        </w:tc>
                        <w:tc>
                          <w:tcPr>
                            <w:tcW w:w="1811" w:type="dxa"/>
                            <w:tcBorders>
                              <w:bottom w:val="single" w:sz="6" w:space="0" w:color="000000"/>
                            </w:tcBorders>
                          </w:tcPr>
                          <w:p w:rsidR="0037596D" w:rsidRDefault="00904D3A">
                            <w:pPr>
                              <w:pStyle w:val="TableParagraph"/>
                              <w:tabs>
                                <w:tab w:val="left" w:pos="1093"/>
                              </w:tabs>
                              <w:spacing w:before="6"/>
                              <w:ind w:left="132"/>
                              <w:jc w:val="center"/>
                              <w:rPr>
                                <w:rFonts w:ascii="Arial"/>
                                <w:sz w:val="20"/>
                              </w:rPr>
                            </w:pPr>
                            <w:r>
                              <w:rPr>
                                <w:rFonts w:ascii="Arial"/>
                                <w:sz w:val="20"/>
                              </w:rPr>
                              <w:t>$</w:t>
                            </w:r>
                            <w:r>
                              <w:rPr>
                                <w:rFonts w:ascii="Arial"/>
                                <w:sz w:val="20"/>
                              </w:rPr>
                              <w:tab/>
                              <w:t>3,078</w:t>
                            </w:r>
                          </w:p>
                        </w:tc>
                      </w:tr>
                      <w:tr w:rsidR="0037596D" w:rsidTr="0063662C">
                        <w:trPr>
                          <w:trHeight w:hRule="exact" w:val="240"/>
                          <w:tblHeader/>
                        </w:trPr>
                        <w:tc>
                          <w:tcPr>
                            <w:tcW w:w="3181" w:type="dxa"/>
                            <w:tcBorders>
                              <w:top w:val="single" w:sz="6" w:space="0" w:color="000000"/>
                            </w:tcBorders>
                          </w:tcPr>
                          <w:p w:rsidR="0037596D" w:rsidRDefault="0037596D"/>
                        </w:tc>
                        <w:tc>
                          <w:tcPr>
                            <w:tcW w:w="2085" w:type="dxa"/>
                            <w:tcBorders>
                              <w:top w:val="single" w:sz="6" w:space="0" w:color="000000"/>
                            </w:tcBorders>
                          </w:tcPr>
                          <w:p w:rsidR="0037596D" w:rsidRDefault="0037596D"/>
                        </w:tc>
                        <w:tc>
                          <w:tcPr>
                            <w:tcW w:w="1412" w:type="dxa"/>
                            <w:tcBorders>
                              <w:top w:val="single" w:sz="6" w:space="0" w:color="000000"/>
                            </w:tcBorders>
                          </w:tcPr>
                          <w:p w:rsidR="0037596D" w:rsidRDefault="0037596D"/>
                        </w:tc>
                        <w:tc>
                          <w:tcPr>
                            <w:tcW w:w="1811" w:type="dxa"/>
                            <w:tcBorders>
                              <w:top w:val="single" w:sz="6" w:space="0" w:color="000000"/>
                            </w:tcBorders>
                          </w:tcPr>
                          <w:p w:rsidR="0037596D" w:rsidRDefault="00904D3A">
                            <w:pPr>
                              <w:pStyle w:val="TableParagraph"/>
                              <w:tabs>
                                <w:tab w:val="left" w:pos="1092"/>
                              </w:tabs>
                              <w:spacing w:before="2"/>
                              <w:ind w:left="116"/>
                              <w:jc w:val="center"/>
                              <w:rPr>
                                <w:rFonts w:ascii="Arial"/>
                                <w:sz w:val="20"/>
                              </w:rPr>
                            </w:pPr>
                            <w:r>
                              <w:rPr>
                                <w:rFonts w:ascii="Arial"/>
                                <w:sz w:val="20"/>
                              </w:rPr>
                              <w:t>$</w:t>
                            </w:r>
                            <w:r>
                              <w:rPr>
                                <w:rFonts w:ascii="Arial"/>
                                <w:sz w:val="20"/>
                              </w:rPr>
                              <w:tab/>
                              <w:t>8,910</w:t>
                            </w:r>
                          </w:p>
                        </w:tc>
                      </w:tr>
                    </w:tbl>
                    <w:p w:rsidR="0037596D" w:rsidRDefault="0037596D">
                      <w:pPr>
                        <w:pStyle w:val="BodyText"/>
                      </w:pPr>
                    </w:p>
                  </w:txbxContent>
                </v:textbox>
                <w10:anchorlock/>
              </v:shape>
            </w:pict>
          </mc:Fallback>
        </mc:AlternateContent>
      </w:r>
    </w:p>
    <w:p w:rsidR="0037596D" w:rsidRDefault="00904D3A" w:rsidP="0063662C">
      <w:pPr>
        <w:spacing w:before="240"/>
        <w:ind w:left="475"/>
        <w:rPr>
          <w:sz w:val="24"/>
        </w:rPr>
      </w:pPr>
      <w:r>
        <w:rPr>
          <w:b/>
          <w:sz w:val="24"/>
        </w:rPr>
        <w:t xml:space="preserve">Computer Services - </w:t>
      </w:r>
      <w:r>
        <w:rPr>
          <w:sz w:val="24"/>
        </w:rPr>
        <w:t>$2,800</w:t>
      </w:r>
    </w:p>
    <w:p w:rsidR="0037596D" w:rsidRDefault="00904D3A">
      <w:pPr>
        <w:pStyle w:val="BodyText"/>
        <w:spacing w:before="179" w:line="259" w:lineRule="auto"/>
        <w:ind w:left="479" w:right="309"/>
      </w:pPr>
      <w:r>
        <w:t>Funds are requested for costs ($700/yr) associated with housing and backing up of data on network servers.</w:t>
      </w:r>
    </w:p>
    <w:p w:rsidR="0037596D" w:rsidRDefault="00904D3A">
      <w:pPr>
        <w:pStyle w:val="Heading1"/>
        <w:spacing w:before="160"/>
        <w:ind w:firstLine="0"/>
        <w:rPr>
          <w:b w:val="0"/>
        </w:rPr>
      </w:pPr>
      <w:r>
        <w:t xml:space="preserve">Publication Costs/Page Charges - </w:t>
      </w:r>
      <w:r>
        <w:rPr>
          <w:b w:val="0"/>
        </w:rPr>
        <w:t>$2,000</w:t>
      </w:r>
    </w:p>
    <w:p w:rsidR="0037596D" w:rsidRDefault="00904D3A">
      <w:pPr>
        <w:pStyle w:val="BodyText"/>
        <w:spacing w:before="179" w:line="259" w:lineRule="auto"/>
        <w:ind w:left="479" w:right="282"/>
      </w:pPr>
      <w:r>
        <w:t>Funds are requested in Year 3 and 4 ($1,000 each year) for publication of research results in peer-reviewed journals.</w:t>
      </w:r>
    </w:p>
    <w:p w:rsidR="0037596D" w:rsidRDefault="00904D3A">
      <w:pPr>
        <w:spacing w:before="159"/>
        <w:ind w:left="479"/>
        <w:rPr>
          <w:sz w:val="24"/>
        </w:rPr>
      </w:pPr>
      <w:r>
        <w:rPr>
          <w:b/>
          <w:sz w:val="24"/>
        </w:rPr>
        <w:t xml:space="preserve">Tuition and Fees - </w:t>
      </w:r>
      <w:r>
        <w:rPr>
          <w:sz w:val="24"/>
        </w:rPr>
        <w:t>$64,071</w:t>
      </w:r>
    </w:p>
    <w:p w:rsidR="0037596D" w:rsidRDefault="00904D3A">
      <w:pPr>
        <w:pStyle w:val="BodyText"/>
        <w:spacing w:before="21" w:line="259" w:lineRule="auto"/>
        <w:ind w:left="479" w:right="269"/>
      </w:pPr>
      <w:r>
        <w:t>Graduate student tuition and fees are included in the budget for a total of 12 academic terms. Per term cost is $4,992 with an annual budgeted increase of 4.5% as projected by OSU's office of sponsored programs.</w:t>
      </w:r>
    </w:p>
    <w:p w:rsidR="0037596D" w:rsidRDefault="00904D3A">
      <w:pPr>
        <w:pStyle w:val="ListParagraph"/>
        <w:numPr>
          <w:ilvl w:val="0"/>
          <w:numId w:val="1"/>
        </w:numPr>
        <w:tabs>
          <w:tab w:val="left" w:pos="441"/>
        </w:tabs>
        <w:spacing w:before="159"/>
        <w:ind w:left="440" w:hanging="320"/>
        <w:rPr>
          <w:sz w:val="24"/>
        </w:rPr>
      </w:pPr>
      <w:r>
        <w:rPr>
          <w:b/>
          <w:sz w:val="24"/>
        </w:rPr>
        <w:t>Total Direct Costs -</w:t>
      </w:r>
      <w:r>
        <w:rPr>
          <w:b/>
          <w:spacing w:val="-11"/>
          <w:sz w:val="24"/>
        </w:rPr>
        <w:t xml:space="preserve"> </w:t>
      </w:r>
      <w:r>
        <w:rPr>
          <w:sz w:val="24"/>
        </w:rPr>
        <w:t>$626,839</w:t>
      </w:r>
    </w:p>
    <w:p w:rsidR="0037596D" w:rsidRDefault="00904D3A">
      <w:pPr>
        <w:pStyle w:val="ListParagraph"/>
        <w:numPr>
          <w:ilvl w:val="0"/>
          <w:numId w:val="1"/>
        </w:numPr>
        <w:tabs>
          <w:tab w:val="left" w:pos="427"/>
        </w:tabs>
        <w:spacing w:before="182"/>
        <w:ind w:left="426" w:hanging="306"/>
        <w:rPr>
          <w:sz w:val="24"/>
        </w:rPr>
      </w:pPr>
      <w:r>
        <w:rPr>
          <w:b/>
          <w:sz w:val="24"/>
        </w:rPr>
        <w:t>Indirect Charges -</w:t>
      </w:r>
      <w:r>
        <w:rPr>
          <w:b/>
          <w:spacing w:val="-8"/>
          <w:sz w:val="24"/>
        </w:rPr>
        <w:t xml:space="preserve"> </w:t>
      </w:r>
      <w:r>
        <w:rPr>
          <w:sz w:val="24"/>
        </w:rPr>
        <w:t>$67,532</w:t>
      </w:r>
    </w:p>
    <w:p w:rsidR="0037596D" w:rsidRDefault="00904D3A">
      <w:pPr>
        <w:pStyle w:val="BodyText"/>
        <w:spacing w:before="180" w:line="259" w:lineRule="auto"/>
        <w:ind w:left="119" w:right="137"/>
      </w:pPr>
      <w:r>
        <w:t>The maximum permissible indirect cost rate from the funding agency (CalFire) is 12% of modified total direct costs (tuition is excluded).</w:t>
      </w:r>
    </w:p>
    <w:p w:rsidR="0037596D" w:rsidRDefault="00904D3A">
      <w:pPr>
        <w:spacing w:before="161"/>
        <w:ind w:left="119"/>
        <w:rPr>
          <w:sz w:val="24"/>
        </w:rPr>
      </w:pPr>
      <w:r>
        <w:rPr>
          <w:b/>
          <w:sz w:val="24"/>
        </w:rPr>
        <w:t xml:space="preserve">I. Total - </w:t>
      </w:r>
      <w:r>
        <w:rPr>
          <w:sz w:val="24"/>
        </w:rPr>
        <w:t>$694,371</w:t>
      </w:r>
    </w:p>
    <w:sectPr w:rsidR="0037596D">
      <w:pgSz w:w="12240" w:h="15840"/>
      <w:pgMar w:top="1460" w:right="1320" w:bottom="1380" w:left="1320" w:header="0" w:footer="119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D307A" w:rsidRDefault="002D307A">
      <w:r>
        <w:separator/>
      </w:r>
    </w:p>
  </w:endnote>
  <w:endnote w:type="continuationSeparator" w:id="0">
    <w:p w:rsidR="002D307A" w:rsidRDefault="002D30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169172098"/>
      <w:docPartObj>
        <w:docPartGallery w:val="Page Numbers (Bottom of Page)"/>
        <w:docPartUnique/>
      </w:docPartObj>
    </w:sdtPr>
    <w:sdtEndPr>
      <w:rPr>
        <w:rStyle w:val="PageNumber"/>
      </w:rPr>
    </w:sdtEndPr>
    <w:sdtContent>
      <w:p w:rsidR="0063662C" w:rsidRDefault="0063662C" w:rsidP="00C7573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63662C" w:rsidRDefault="0063662C" w:rsidP="0063662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23489597"/>
      <w:docPartObj>
        <w:docPartGallery w:val="Page Numbers (Bottom of Page)"/>
        <w:docPartUnique/>
      </w:docPartObj>
    </w:sdtPr>
    <w:sdtEndPr>
      <w:rPr>
        <w:rStyle w:val="PageNumber"/>
      </w:rPr>
    </w:sdtEndPr>
    <w:sdtContent>
      <w:p w:rsidR="0063662C" w:rsidRDefault="0063662C" w:rsidP="00C7573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402967">
          <w:rPr>
            <w:rStyle w:val="PageNumber"/>
            <w:noProof/>
          </w:rPr>
          <w:t>15</w:t>
        </w:r>
        <w:r>
          <w:rPr>
            <w:rStyle w:val="PageNumber"/>
          </w:rPr>
          <w:fldChar w:fldCharType="end"/>
        </w:r>
      </w:p>
    </w:sdtContent>
  </w:sdt>
  <w:p w:rsidR="0037596D" w:rsidRDefault="0037596D" w:rsidP="0063662C">
    <w:pPr>
      <w:pStyle w:val="BodyText"/>
      <w:spacing w:line="14" w:lineRule="auto"/>
      <w:ind w:right="360"/>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D307A" w:rsidRDefault="002D307A">
      <w:r>
        <w:separator/>
      </w:r>
    </w:p>
  </w:footnote>
  <w:footnote w:type="continuationSeparator" w:id="0">
    <w:p w:rsidR="002D307A" w:rsidRDefault="002D307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FB5750"/>
    <w:multiLevelType w:val="hybridMultilevel"/>
    <w:tmpl w:val="E2D23696"/>
    <w:lvl w:ilvl="0" w:tplc="A1E083D2">
      <w:start w:val="1"/>
      <w:numFmt w:val="upperLetter"/>
      <w:lvlText w:val="%1."/>
      <w:lvlJc w:val="left"/>
      <w:pPr>
        <w:ind w:left="427" w:hanging="308"/>
        <w:jc w:val="left"/>
      </w:pPr>
      <w:rPr>
        <w:rFonts w:ascii="Arial" w:eastAsia="Arial" w:hAnsi="Arial" w:cs="Arial" w:hint="default"/>
        <w:b/>
        <w:bCs/>
        <w:spacing w:val="-1"/>
        <w:w w:val="99"/>
        <w:sz w:val="24"/>
        <w:szCs w:val="24"/>
      </w:rPr>
    </w:lvl>
    <w:lvl w:ilvl="1" w:tplc="84E4B02A">
      <w:numFmt w:val="bullet"/>
      <w:lvlText w:val=""/>
      <w:lvlJc w:val="left"/>
      <w:pPr>
        <w:ind w:left="1200" w:hanging="361"/>
      </w:pPr>
      <w:rPr>
        <w:rFonts w:ascii="Symbol" w:eastAsia="Symbol" w:hAnsi="Symbol" w:cs="Symbol" w:hint="default"/>
        <w:w w:val="100"/>
        <w:sz w:val="24"/>
        <w:szCs w:val="24"/>
      </w:rPr>
    </w:lvl>
    <w:lvl w:ilvl="2" w:tplc="CB261D68">
      <w:numFmt w:val="bullet"/>
      <w:lvlText w:val="•"/>
      <w:lvlJc w:val="left"/>
      <w:pPr>
        <w:ind w:left="2133" w:hanging="361"/>
      </w:pPr>
      <w:rPr>
        <w:rFonts w:hint="default"/>
      </w:rPr>
    </w:lvl>
    <w:lvl w:ilvl="3" w:tplc="6E6CA94C">
      <w:numFmt w:val="bullet"/>
      <w:lvlText w:val="•"/>
      <w:lvlJc w:val="left"/>
      <w:pPr>
        <w:ind w:left="3066" w:hanging="361"/>
      </w:pPr>
      <w:rPr>
        <w:rFonts w:hint="default"/>
      </w:rPr>
    </w:lvl>
    <w:lvl w:ilvl="4" w:tplc="77F2F2A4">
      <w:numFmt w:val="bullet"/>
      <w:lvlText w:val="•"/>
      <w:lvlJc w:val="left"/>
      <w:pPr>
        <w:ind w:left="4000" w:hanging="361"/>
      </w:pPr>
      <w:rPr>
        <w:rFonts w:hint="default"/>
      </w:rPr>
    </w:lvl>
    <w:lvl w:ilvl="5" w:tplc="FEF23E1A">
      <w:numFmt w:val="bullet"/>
      <w:lvlText w:val="•"/>
      <w:lvlJc w:val="left"/>
      <w:pPr>
        <w:ind w:left="4933" w:hanging="361"/>
      </w:pPr>
      <w:rPr>
        <w:rFonts w:hint="default"/>
      </w:rPr>
    </w:lvl>
    <w:lvl w:ilvl="6" w:tplc="F12A59D2">
      <w:numFmt w:val="bullet"/>
      <w:lvlText w:val="•"/>
      <w:lvlJc w:val="left"/>
      <w:pPr>
        <w:ind w:left="5866" w:hanging="361"/>
      </w:pPr>
      <w:rPr>
        <w:rFonts w:hint="default"/>
      </w:rPr>
    </w:lvl>
    <w:lvl w:ilvl="7" w:tplc="40882240">
      <w:numFmt w:val="bullet"/>
      <w:lvlText w:val="•"/>
      <w:lvlJc w:val="left"/>
      <w:pPr>
        <w:ind w:left="6800" w:hanging="361"/>
      </w:pPr>
      <w:rPr>
        <w:rFonts w:hint="default"/>
      </w:rPr>
    </w:lvl>
    <w:lvl w:ilvl="8" w:tplc="3DC2C8C4">
      <w:numFmt w:val="bullet"/>
      <w:lvlText w:val="•"/>
      <w:lvlJc w:val="left"/>
      <w:pPr>
        <w:ind w:left="7733" w:hanging="361"/>
      </w:pPr>
      <w:rPr>
        <w:rFonts w:hint="default"/>
      </w:rPr>
    </w:lvl>
  </w:abstractNum>
  <w:abstractNum w:abstractNumId="1" w15:restartNumberingAfterBreak="0">
    <w:nsid w:val="14C21AA9"/>
    <w:multiLevelType w:val="hybridMultilevel"/>
    <w:tmpl w:val="D1B46982"/>
    <w:lvl w:ilvl="0" w:tplc="09382120">
      <w:numFmt w:val="bullet"/>
      <w:lvlText w:val=""/>
      <w:lvlJc w:val="left"/>
      <w:pPr>
        <w:ind w:left="840" w:hanging="361"/>
      </w:pPr>
      <w:rPr>
        <w:rFonts w:ascii="Symbol" w:eastAsia="Symbol" w:hAnsi="Symbol" w:cs="Symbol" w:hint="default"/>
        <w:w w:val="100"/>
        <w:sz w:val="24"/>
        <w:szCs w:val="24"/>
      </w:rPr>
    </w:lvl>
    <w:lvl w:ilvl="1" w:tplc="41FE15C8">
      <w:numFmt w:val="bullet"/>
      <w:lvlText w:val="•"/>
      <w:lvlJc w:val="left"/>
      <w:pPr>
        <w:ind w:left="1714" w:hanging="361"/>
      </w:pPr>
      <w:rPr>
        <w:rFonts w:hint="default"/>
      </w:rPr>
    </w:lvl>
    <w:lvl w:ilvl="2" w:tplc="E58E34FE">
      <w:numFmt w:val="bullet"/>
      <w:lvlText w:val="•"/>
      <w:lvlJc w:val="left"/>
      <w:pPr>
        <w:ind w:left="2588" w:hanging="361"/>
      </w:pPr>
      <w:rPr>
        <w:rFonts w:hint="default"/>
      </w:rPr>
    </w:lvl>
    <w:lvl w:ilvl="3" w:tplc="4C1AF288">
      <w:numFmt w:val="bullet"/>
      <w:lvlText w:val="•"/>
      <w:lvlJc w:val="left"/>
      <w:pPr>
        <w:ind w:left="3462" w:hanging="361"/>
      </w:pPr>
      <w:rPr>
        <w:rFonts w:hint="default"/>
      </w:rPr>
    </w:lvl>
    <w:lvl w:ilvl="4" w:tplc="DAD0DDA0">
      <w:numFmt w:val="bullet"/>
      <w:lvlText w:val="•"/>
      <w:lvlJc w:val="left"/>
      <w:pPr>
        <w:ind w:left="4336" w:hanging="361"/>
      </w:pPr>
      <w:rPr>
        <w:rFonts w:hint="default"/>
      </w:rPr>
    </w:lvl>
    <w:lvl w:ilvl="5" w:tplc="06E85C6A">
      <w:numFmt w:val="bullet"/>
      <w:lvlText w:val="•"/>
      <w:lvlJc w:val="left"/>
      <w:pPr>
        <w:ind w:left="5210" w:hanging="361"/>
      </w:pPr>
      <w:rPr>
        <w:rFonts w:hint="default"/>
      </w:rPr>
    </w:lvl>
    <w:lvl w:ilvl="6" w:tplc="E5D83C38">
      <w:numFmt w:val="bullet"/>
      <w:lvlText w:val="•"/>
      <w:lvlJc w:val="left"/>
      <w:pPr>
        <w:ind w:left="6084" w:hanging="361"/>
      </w:pPr>
      <w:rPr>
        <w:rFonts w:hint="default"/>
      </w:rPr>
    </w:lvl>
    <w:lvl w:ilvl="7" w:tplc="B9601F0A">
      <w:numFmt w:val="bullet"/>
      <w:lvlText w:val="•"/>
      <w:lvlJc w:val="left"/>
      <w:pPr>
        <w:ind w:left="6958" w:hanging="361"/>
      </w:pPr>
      <w:rPr>
        <w:rFonts w:hint="default"/>
      </w:rPr>
    </w:lvl>
    <w:lvl w:ilvl="8" w:tplc="39DE4A3C">
      <w:numFmt w:val="bullet"/>
      <w:lvlText w:val="•"/>
      <w:lvlJc w:val="left"/>
      <w:pPr>
        <w:ind w:left="7832" w:hanging="361"/>
      </w:pPr>
      <w:rPr>
        <w:rFonts w:hint="default"/>
      </w:rPr>
    </w:lvl>
  </w:abstractNum>
  <w:abstractNum w:abstractNumId="2" w15:restartNumberingAfterBreak="0">
    <w:nsid w:val="23A708C1"/>
    <w:multiLevelType w:val="hybridMultilevel"/>
    <w:tmpl w:val="F210E43A"/>
    <w:lvl w:ilvl="0" w:tplc="24D09408">
      <w:start w:val="1"/>
      <w:numFmt w:val="decimal"/>
      <w:lvlText w:val="%1."/>
      <w:lvlJc w:val="left"/>
      <w:pPr>
        <w:ind w:left="480" w:hanging="360"/>
        <w:jc w:val="left"/>
      </w:pPr>
      <w:rPr>
        <w:rFonts w:ascii="Arial" w:eastAsia="Arial" w:hAnsi="Arial" w:cs="Arial" w:hint="default"/>
        <w:b/>
        <w:bCs/>
        <w:spacing w:val="-1"/>
        <w:w w:val="99"/>
        <w:sz w:val="24"/>
        <w:szCs w:val="24"/>
      </w:rPr>
    </w:lvl>
    <w:lvl w:ilvl="1" w:tplc="A1B6494A">
      <w:start w:val="1"/>
      <w:numFmt w:val="lowerLetter"/>
      <w:lvlText w:val="%2)"/>
      <w:lvlJc w:val="left"/>
      <w:pPr>
        <w:ind w:left="1200" w:hanging="360"/>
        <w:jc w:val="left"/>
      </w:pPr>
      <w:rPr>
        <w:rFonts w:ascii="Arial" w:eastAsia="Arial" w:hAnsi="Arial" w:cs="Arial" w:hint="default"/>
        <w:w w:val="99"/>
        <w:sz w:val="24"/>
        <w:szCs w:val="24"/>
      </w:rPr>
    </w:lvl>
    <w:lvl w:ilvl="2" w:tplc="F9C24338">
      <w:numFmt w:val="bullet"/>
      <w:lvlText w:val="•"/>
      <w:lvlJc w:val="left"/>
      <w:pPr>
        <w:ind w:left="2131" w:hanging="360"/>
      </w:pPr>
      <w:rPr>
        <w:rFonts w:hint="default"/>
      </w:rPr>
    </w:lvl>
    <w:lvl w:ilvl="3" w:tplc="39829598">
      <w:numFmt w:val="bullet"/>
      <w:lvlText w:val="•"/>
      <w:lvlJc w:val="left"/>
      <w:pPr>
        <w:ind w:left="3062" w:hanging="360"/>
      </w:pPr>
      <w:rPr>
        <w:rFonts w:hint="default"/>
      </w:rPr>
    </w:lvl>
    <w:lvl w:ilvl="4" w:tplc="68A2A840">
      <w:numFmt w:val="bullet"/>
      <w:lvlText w:val="•"/>
      <w:lvlJc w:val="left"/>
      <w:pPr>
        <w:ind w:left="3993" w:hanging="360"/>
      </w:pPr>
      <w:rPr>
        <w:rFonts w:hint="default"/>
      </w:rPr>
    </w:lvl>
    <w:lvl w:ilvl="5" w:tplc="457AE11E">
      <w:numFmt w:val="bullet"/>
      <w:lvlText w:val="•"/>
      <w:lvlJc w:val="left"/>
      <w:pPr>
        <w:ind w:left="4924" w:hanging="360"/>
      </w:pPr>
      <w:rPr>
        <w:rFonts w:hint="default"/>
      </w:rPr>
    </w:lvl>
    <w:lvl w:ilvl="6" w:tplc="FB548E90">
      <w:numFmt w:val="bullet"/>
      <w:lvlText w:val="•"/>
      <w:lvlJc w:val="left"/>
      <w:pPr>
        <w:ind w:left="5855" w:hanging="360"/>
      </w:pPr>
      <w:rPr>
        <w:rFonts w:hint="default"/>
      </w:rPr>
    </w:lvl>
    <w:lvl w:ilvl="7" w:tplc="AE080832">
      <w:numFmt w:val="bullet"/>
      <w:lvlText w:val="•"/>
      <w:lvlJc w:val="left"/>
      <w:pPr>
        <w:ind w:left="6786" w:hanging="360"/>
      </w:pPr>
      <w:rPr>
        <w:rFonts w:hint="default"/>
      </w:rPr>
    </w:lvl>
    <w:lvl w:ilvl="8" w:tplc="D480D5AC">
      <w:numFmt w:val="bullet"/>
      <w:lvlText w:val="•"/>
      <w:lvlJc w:val="left"/>
      <w:pPr>
        <w:ind w:left="7717" w:hanging="360"/>
      </w:pPr>
      <w:rPr>
        <w:rFonts w:hint="default"/>
      </w:rPr>
    </w:lvl>
  </w:abstractNum>
  <w:abstractNum w:abstractNumId="3" w15:restartNumberingAfterBreak="0">
    <w:nsid w:val="4E7B7BAA"/>
    <w:multiLevelType w:val="hybridMultilevel"/>
    <w:tmpl w:val="0F5EFDF6"/>
    <w:lvl w:ilvl="0" w:tplc="73F87C5C">
      <w:numFmt w:val="bullet"/>
      <w:lvlText w:val="●"/>
      <w:lvlJc w:val="left"/>
      <w:pPr>
        <w:ind w:left="1260" w:hanging="361"/>
      </w:pPr>
      <w:rPr>
        <w:rFonts w:ascii="Times New Roman" w:eastAsia="Times New Roman" w:hAnsi="Times New Roman" w:cs="Times New Roman" w:hint="default"/>
        <w:spacing w:val="-1"/>
        <w:w w:val="99"/>
        <w:sz w:val="24"/>
        <w:szCs w:val="24"/>
      </w:rPr>
    </w:lvl>
    <w:lvl w:ilvl="1" w:tplc="6B3C56C6">
      <w:numFmt w:val="bullet"/>
      <w:lvlText w:val="•"/>
      <w:lvlJc w:val="left"/>
      <w:pPr>
        <w:ind w:left="2092" w:hanging="361"/>
      </w:pPr>
      <w:rPr>
        <w:rFonts w:hint="default"/>
      </w:rPr>
    </w:lvl>
    <w:lvl w:ilvl="2" w:tplc="6FFEC8B0">
      <w:numFmt w:val="bullet"/>
      <w:lvlText w:val="•"/>
      <w:lvlJc w:val="left"/>
      <w:pPr>
        <w:ind w:left="2924" w:hanging="361"/>
      </w:pPr>
      <w:rPr>
        <w:rFonts w:hint="default"/>
      </w:rPr>
    </w:lvl>
    <w:lvl w:ilvl="3" w:tplc="801EA7F8">
      <w:numFmt w:val="bullet"/>
      <w:lvlText w:val="•"/>
      <w:lvlJc w:val="left"/>
      <w:pPr>
        <w:ind w:left="3756" w:hanging="361"/>
      </w:pPr>
      <w:rPr>
        <w:rFonts w:hint="default"/>
      </w:rPr>
    </w:lvl>
    <w:lvl w:ilvl="4" w:tplc="65F6F07E">
      <w:numFmt w:val="bullet"/>
      <w:lvlText w:val="•"/>
      <w:lvlJc w:val="left"/>
      <w:pPr>
        <w:ind w:left="4588" w:hanging="361"/>
      </w:pPr>
      <w:rPr>
        <w:rFonts w:hint="default"/>
      </w:rPr>
    </w:lvl>
    <w:lvl w:ilvl="5" w:tplc="B20A9894">
      <w:numFmt w:val="bullet"/>
      <w:lvlText w:val="•"/>
      <w:lvlJc w:val="left"/>
      <w:pPr>
        <w:ind w:left="5420" w:hanging="361"/>
      </w:pPr>
      <w:rPr>
        <w:rFonts w:hint="default"/>
      </w:rPr>
    </w:lvl>
    <w:lvl w:ilvl="6" w:tplc="E19E230E">
      <w:numFmt w:val="bullet"/>
      <w:lvlText w:val="•"/>
      <w:lvlJc w:val="left"/>
      <w:pPr>
        <w:ind w:left="6252" w:hanging="361"/>
      </w:pPr>
      <w:rPr>
        <w:rFonts w:hint="default"/>
      </w:rPr>
    </w:lvl>
    <w:lvl w:ilvl="7" w:tplc="355802B6">
      <w:numFmt w:val="bullet"/>
      <w:lvlText w:val="•"/>
      <w:lvlJc w:val="left"/>
      <w:pPr>
        <w:ind w:left="7084" w:hanging="361"/>
      </w:pPr>
      <w:rPr>
        <w:rFonts w:hint="default"/>
      </w:rPr>
    </w:lvl>
    <w:lvl w:ilvl="8" w:tplc="6B6CAD1E">
      <w:numFmt w:val="bullet"/>
      <w:lvlText w:val="•"/>
      <w:lvlJc w:val="left"/>
      <w:pPr>
        <w:ind w:left="7916" w:hanging="361"/>
      </w:pPr>
      <w:rPr>
        <w:rFonts w:hint="default"/>
      </w:rPr>
    </w:lvl>
  </w:abstractNum>
  <w:abstractNum w:abstractNumId="4" w15:restartNumberingAfterBreak="0">
    <w:nsid w:val="5CF0301D"/>
    <w:multiLevelType w:val="hybridMultilevel"/>
    <w:tmpl w:val="1FDC9FC8"/>
    <w:lvl w:ilvl="0" w:tplc="4CD4CF48">
      <w:start w:val="1"/>
      <w:numFmt w:val="lowerLetter"/>
      <w:lvlText w:val="(%1)"/>
      <w:lvlJc w:val="left"/>
      <w:pPr>
        <w:ind w:left="1920" w:hanging="361"/>
        <w:jc w:val="left"/>
      </w:pPr>
      <w:rPr>
        <w:rFonts w:ascii="Arial" w:eastAsia="Arial" w:hAnsi="Arial" w:cs="Arial" w:hint="default"/>
        <w:w w:val="99"/>
        <w:sz w:val="24"/>
        <w:szCs w:val="24"/>
      </w:rPr>
    </w:lvl>
    <w:lvl w:ilvl="1" w:tplc="96C0D578">
      <w:numFmt w:val="bullet"/>
      <w:lvlText w:val="•"/>
      <w:lvlJc w:val="left"/>
      <w:pPr>
        <w:ind w:left="2686" w:hanging="361"/>
      </w:pPr>
      <w:rPr>
        <w:rFonts w:hint="default"/>
      </w:rPr>
    </w:lvl>
    <w:lvl w:ilvl="2" w:tplc="0F78E2BE">
      <w:numFmt w:val="bullet"/>
      <w:lvlText w:val="•"/>
      <w:lvlJc w:val="left"/>
      <w:pPr>
        <w:ind w:left="3452" w:hanging="361"/>
      </w:pPr>
      <w:rPr>
        <w:rFonts w:hint="default"/>
      </w:rPr>
    </w:lvl>
    <w:lvl w:ilvl="3" w:tplc="4D22AA4A">
      <w:numFmt w:val="bullet"/>
      <w:lvlText w:val="•"/>
      <w:lvlJc w:val="left"/>
      <w:pPr>
        <w:ind w:left="4218" w:hanging="361"/>
      </w:pPr>
      <w:rPr>
        <w:rFonts w:hint="default"/>
      </w:rPr>
    </w:lvl>
    <w:lvl w:ilvl="4" w:tplc="7840995E">
      <w:numFmt w:val="bullet"/>
      <w:lvlText w:val="•"/>
      <w:lvlJc w:val="left"/>
      <w:pPr>
        <w:ind w:left="4984" w:hanging="361"/>
      </w:pPr>
      <w:rPr>
        <w:rFonts w:hint="default"/>
      </w:rPr>
    </w:lvl>
    <w:lvl w:ilvl="5" w:tplc="2E7CC9EA">
      <w:numFmt w:val="bullet"/>
      <w:lvlText w:val="•"/>
      <w:lvlJc w:val="left"/>
      <w:pPr>
        <w:ind w:left="5750" w:hanging="361"/>
      </w:pPr>
      <w:rPr>
        <w:rFonts w:hint="default"/>
      </w:rPr>
    </w:lvl>
    <w:lvl w:ilvl="6" w:tplc="A530B3B8">
      <w:numFmt w:val="bullet"/>
      <w:lvlText w:val="•"/>
      <w:lvlJc w:val="left"/>
      <w:pPr>
        <w:ind w:left="6516" w:hanging="361"/>
      </w:pPr>
      <w:rPr>
        <w:rFonts w:hint="default"/>
      </w:rPr>
    </w:lvl>
    <w:lvl w:ilvl="7" w:tplc="14148BB0">
      <w:numFmt w:val="bullet"/>
      <w:lvlText w:val="•"/>
      <w:lvlJc w:val="left"/>
      <w:pPr>
        <w:ind w:left="7282" w:hanging="361"/>
      </w:pPr>
      <w:rPr>
        <w:rFonts w:hint="default"/>
      </w:rPr>
    </w:lvl>
    <w:lvl w:ilvl="8" w:tplc="487AF2E0">
      <w:numFmt w:val="bullet"/>
      <w:lvlText w:val="•"/>
      <w:lvlJc w:val="left"/>
      <w:pPr>
        <w:ind w:left="8048" w:hanging="361"/>
      </w:pPr>
      <w:rPr>
        <w:rFonts w:hint="default"/>
      </w:rPr>
    </w:lvl>
  </w:abstractNum>
  <w:abstractNum w:abstractNumId="5" w15:restartNumberingAfterBreak="0">
    <w:nsid w:val="66371222"/>
    <w:multiLevelType w:val="hybridMultilevel"/>
    <w:tmpl w:val="C7B2A0E6"/>
    <w:lvl w:ilvl="0" w:tplc="FFAAC588">
      <w:start w:val="1"/>
      <w:numFmt w:val="decimal"/>
      <w:lvlText w:val="%1."/>
      <w:lvlJc w:val="left"/>
      <w:pPr>
        <w:ind w:left="460" w:hanging="360"/>
        <w:jc w:val="right"/>
      </w:pPr>
      <w:rPr>
        <w:rFonts w:hint="default"/>
        <w:b/>
        <w:bCs/>
        <w:w w:val="100"/>
      </w:rPr>
    </w:lvl>
    <w:lvl w:ilvl="1" w:tplc="A058F9C2">
      <w:numFmt w:val="bullet"/>
      <w:lvlText w:val="•"/>
      <w:lvlJc w:val="left"/>
      <w:pPr>
        <w:ind w:left="1370" w:hanging="360"/>
      </w:pPr>
      <w:rPr>
        <w:rFonts w:hint="default"/>
      </w:rPr>
    </w:lvl>
    <w:lvl w:ilvl="2" w:tplc="1B0878FA">
      <w:numFmt w:val="bullet"/>
      <w:lvlText w:val="•"/>
      <w:lvlJc w:val="left"/>
      <w:pPr>
        <w:ind w:left="2280" w:hanging="360"/>
      </w:pPr>
      <w:rPr>
        <w:rFonts w:hint="default"/>
      </w:rPr>
    </w:lvl>
    <w:lvl w:ilvl="3" w:tplc="81F40C4A">
      <w:numFmt w:val="bullet"/>
      <w:lvlText w:val="•"/>
      <w:lvlJc w:val="left"/>
      <w:pPr>
        <w:ind w:left="3190" w:hanging="360"/>
      </w:pPr>
      <w:rPr>
        <w:rFonts w:hint="default"/>
      </w:rPr>
    </w:lvl>
    <w:lvl w:ilvl="4" w:tplc="EED60C42">
      <w:numFmt w:val="bullet"/>
      <w:lvlText w:val="•"/>
      <w:lvlJc w:val="left"/>
      <w:pPr>
        <w:ind w:left="4100" w:hanging="360"/>
      </w:pPr>
      <w:rPr>
        <w:rFonts w:hint="default"/>
      </w:rPr>
    </w:lvl>
    <w:lvl w:ilvl="5" w:tplc="A41650A4">
      <w:numFmt w:val="bullet"/>
      <w:lvlText w:val="•"/>
      <w:lvlJc w:val="left"/>
      <w:pPr>
        <w:ind w:left="5010" w:hanging="360"/>
      </w:pPr>
      <w:rPr>
        <w:rFonts w:hint="default"/>
      </w:rPr>
    </w:lvl>
    <w:lvl w:ilvl="6" w:tplc="F9141780">
      <w:numFmt w:val="bullet"/>
      <w:lvlText w:val="•"/>
      <w:lvlJc w:val="left"/>
      <w:pPr>
        <w:ind w:left="5920" w:hanging="360"/>
      </w:pPr>
      <w:rPr>
        <w:rFonts w:hint="default"/>
      </w:rPr>
    </w:lvl>
    <w:lvl w:ilvl="7" w:tplc="F022C8AC">
      <w:numFmt w:val="bullet"/>
      <w:lvlText w:val="•"/>
      <w:lvlJc w:val="left"/>
      <w:pPr>
        <w:ind w:left="6830" w:hanging="360"/>
      </w:pPr>
      <w:rPr>
        <w:rFonts w:hint="default"/>
      </w:rPr>
    </w:lvl>
    <w:lvl w:ilvl="8" w:tplc="F5EC0452">
      <w:numFmt w:val="bullet"/>
      <w:lvlText w:val="•"/>
      <w:lvlJc w:val="left"/>
      <w:pPr>
        <w:ind w:left="7740" w:hanging="360"/>
      </w:pPr>
      <w:rPr>
        <w:rFonts w:hint="default"/>
      </w:rPr>
    </w:lvl>
  </w:abstractNum>
  <w:abstractNum w:abstractNumId="6" w15:restartNumberingAfterBreak="0">
    <w:nsid w:val="76166FCF"/>
    <w:multiLevelType w:val="multilevel"/>
    <w:tmpl w:val="A0A8BEEA"/>
    <w:lvl w:ilvl="0">
      <w:start w:val="4"/>
      <w:numFmt w:val="decimal"/>
      <w:lvlText w:val="%1"/>
      <w:lvlJc w:val="left"/>
      <w:pPr>
        <w:ind w:left="587" w:hanging="468"/>
        <w:jc w:val="left"/>
      </w:pPr>
      <w:rPr>
        <w:rFonts w:hint="default"/>
      </w:rPr>
    </w:lvl>
    <w:lvl w:ilvl="1">
      <w:start w:val="2"/>
      <w:numFmt w:val="decimal"/>
      <w:lvlText w:val="%1.%2."/>
      <w:lvlJc w:val="left"/>
      <w:pPr>
        <w:ind w:left="587" w:hanging="468"/>
        <w:jc w:val="left"/>
      </w:pPr>
      <w:rPr>
        <w:rFonts w:ascii="Arial" w:eastAsia="Arial" w:hAnsi="Arial" w:cs="Arial" w:hint="default"/>
        <w:b/>
        <w:bCs/>
        <w:i/>
        <w:spacing w:val="-1"/>
        <w:w w:val="100"/>
        <w:sz w:val="24"/>
        <w:szCs w:val="24"/>
      </w:rPr>
    </w:lvl>
    <w:lvl w:ilvl="2">
      <w:numFmt w:val="bullet"/>
      <w:lvlText w:val="•"/>
      <w:lvlJc w:val="left"/>
      <w:pPr>
        <w:ind w:left="2380" w:hanging="468"/>
      </w:pPr>
      <w:rPr>
        <w:rFonts w:hint="default"/>
      </w:rPr>
    </w:lvl>
    <w:lvl w:ilvl="3">
      <w:numFmt w:val="bullet"/>
      <w:lvlText w:val="•"/>
      <w:lvlJc w:val="left"/>
      <w:pPr>
        <w:ind w:left="3280" w:hanging="468"/>
      </w:pPr>
      <w:rPr>
        <w:rFonts w:hint="default"/>
      </w:rPr>
    </w:lvl>
    <w:lvl w:ilvl="4">
      <w:numFmt w:val="bullet"/>
      <w:lvlText w:val="•"/>
      <w:lvlJc w:val="left"/>
      <w:pPr>
        <w:ind w:left="4180" w:hanging="468"/>
      </w:pPr>
      <w:rPr>
        <w:rFonts w:hint="default"/>
      </w:rPr>
    </w:lvl>
    <w:lvl w:ilvl="5">
      <w:numFmt w:val="bullet"/>
      <w:lvlText w:val="•"/>
      <w:lvlJc w:val="left"/>
      <w:pPr>
        <w:ind w:left="5080" w:hanging="468"/>
      </w:pPr>
      <w:rPr>
        <w:rFonts w:hint="default"/>
      </w:rPr>
    </w:lvl>
    <w:lvl w:ilvl="6">
      <w:numFmt w:val="bullet"/>
      <w:lvlText w:val="•"/>
      <w:lvlJc w:val="left"/>
      <w:pPr>
        <w:ind w:left="5980" w:hanging="468"/>
      </w:pPr>
      <w:rPr>
        <w:rFonts w:hint="default"/>
      </w:rPr>
    </w:lvl>
    <w:lvl w:ilvl="7">
      <w:numFmt w:val="bullet"/>
      <w:lvlText w:val="•"/>
      <w:lvlJc w:val="left"/>
      <w:pPr>
        <w:ind w:left="6880" w:hanging="468"/>
      </w:pPr>
      <w:rPr>
        <w:rFonts w:hint="default"/>
      </w:rPr>
    </w:lvl>
    <w:lvl w:ilvl="8">
      <w:numFmt w:val="bullet"/>
      <w:lvlText w:val="•"/>
      <w:lvlJc w:val="left"/>
      <w:pPr>
        <w:ind w:left="7780" w:hanging="468"/>
      </w:pPr>
      <w:rPr>
        <w:rFonts w:hint="default"/>
      </w:rPr>
    </w:lvl>
  </w:abstractNum>
  <w:num w:numId="1">
    <w:abstractNumId w:val="0"/>
  </w:num>
  <w:num w:numId="2">
    <w:abstractNumId w:val="3"/>
  </w:num>
  <w:num w:numId="3">
    <w:abstractNumId w:val="6"/>
  </w:num>
  <w:num w:numId="4">
    <w:abstractNumId w:val="4"/>
  </w:num>
  <w:num w:numId="5">
    <w:abstractNumId w:val="1"/>
  </w:num>
  <w:num w:numId="6">
    <w:abstractNumId w:val="2"/>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ocumentProtection w:edit="readOnly" w:enforcement="1" w:cryptProviderType="rsaAES" w:cryptAlgorithmClass="hash" w:cryptAlgorithmType="typeAny" w:cryptAlgorithmSid="14" w:cryptSpinCount="100000" w:hash="eRaRpJn6wi3AE19nbtP97F7VHmqsbL3mAf+BUvAhH5xOtwK3MKZUeh9dljjdto3YG4MBO4JdP+kDTtVTkMUCCQ==" w:salt="f95x4amhFtji5dx+zkm9Xw=="/>
  <w:defaultTabStop w:val="720"/>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596D"/>
    <w:rsid w:val="002D307A"/>
    <w:rsid w:val="0037596D"/>
    <w:rsid w:val="00402967"/>
    <w:rsid w:val="0063662C"/>
    <w:rsid w:val="00904D3A"/>
    <w:rsid w:val="00BB3011"/>
    <w:rsid w:val="00BE308A"/>
    <w:rsid w:val="00CE4D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FA5977BB-CB2F-F54D-BFF8-203CED16FC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ind w:left="479" w:hanging="359"/>
      <w:outlineLvl w:val="0"/>
    </w:pPr>
    <w:rPr>
      <w:b/>
      <w:bCs/>
      <w:sz w:val="24"/>
      <w:szCs w:val="24"/>
    </w:rPr>
  </w:style>
  <w:style w:type="paragraph" w:styleId="Heading2">
    <w:name w:val="heading 2"/>
    <w:basedOn w:val="Normal"/>
    <w:uiPriority w:val="9"/>
    <w:unhideWhenUsed/>
    <w:qFormat/>
    <w:pPr>
      <w:ind w:left="120" w:hanging="467"/>
      <w:outlineLvl w:val="1"/>
    </w:pPr>
    <w:rPr>
      <w:b/>
      <w:bCs/>
      <w: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1200" w:hanging="360"/>
    </w:pPr>
  </w:style>
  <w:style w:type="paragraph" w:customStyle="1" w:styleId="TableParagraph">
    <w:name w:val="Table Paragraph"/>
    <w:basedOn w:val="Normal"/>
    <w:uiPriority w:val="1"/>
    <w:qFormat/>
    <w:pPr>
      <w:spacing w:before="22"/>
      <w:jc w:val="right"/>
    </w:pPr>
    <w:rPr>
      <w:rFonts w:ascii="Times New Roman" w:eastAsia="Times New Roman" w:hAnsi="Times New Roman" w:cs="Times New Roman"/>
    </w:rPr>
  </w:style>
  <w:style w:type="paragraph" w:styleId="Header">
    <w:name w:val="header"/>
    <w:basedOn w:val="Normal"/>
    <w:link w:val="HeaderChar"/>
    <w:uiPriority w:val="99"/>
    <w:unhideWhenUsed/>
    <w:rsid w:val="0063662C"/>
    <w:pPr>
      <w:tabs>
        <w:tab w:val="center" w:pos="4680"/>
        <w:tab w:val="right" w:pos="9360"/>
      </w:tabs>
    </w:pPr>
  </w:style>
  <w:style w:type="character" w:customStyle="1" w:styleId="HeaderChar">
    <w:name w:val="Header Char"/>
    <w:basedOn w:val="DefaultParagraphFont"/>
    <w:link w:val="Header"/>
    <w:uiPriority w:val="99"/>
    <w:rsid w:val="0063662C"/>
    <w:rPr>
      <w:rFonts w:ascii="Arial" w:eastAsia="Arial" w:hAnsi="Arial" w:cs="Arial"/>
    </w:rPr>
  </w:style>
  <w:style w:type="paragraph" w:styleId="Footer">
    <w:name w:val="footer"/>
    <w:basedOn w:val="Normal"/>
    <w:link w:val="FooterChar"/>
    <w:uiPriority w:val="99"/>
    <w:unhideWhenUsed/>
    <w:rsid w:val="0063662C"/>
    <w:pPr>
      <w:tabs>
        <w:tab w:val="center" w:pos="4680"/>
        <w:tab w:val="right" w:pos="9360"/>
      </w:tabs>
    </w:pPr>
  </w:style>
  <w:style w:type="character" w:customStyle="1" w:styleId="FooterChar">
    <w:name w:val="Footer Char"/>
    <w:basedOn w:val="DefaultParagraphFont"/>
    <w:link w:val="Footer"/>
    <w:uiPriority w:val="99"/>
    <w:rsid w:val="0063662C"/>
    <w:rPr>
      <w:rFonts w:ascii="Arial" w:eastAsia="Arial" w:hAnsi="Arial" w:cs="Arial"/>
    </w:rPr>
  </w:style>
  <w:style w:type="character" w:styleId="PageNumber">
    <w:name w:val="page number"/>
    <w:basedOn w:val="DefaultParagraphFont"/>
    <w:uiPriority w:val="99"/>
    <w:semiHidden/>
    <w:unhideWhenUsed/>
    <w:rsid w:val="0063662C"/>
  </w:style>
  <w:style w:type="table" w:styleId="TableGrid">
    <w:name w:val="Table Grid"/>
    <w:basedOn w:val="TableNormal"/>
    <w:uiPriority w:val="39"/>
    <w:rsid w:val="006366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www.fs.fed.us/fmsc/fvs/" TargetMode="External"/><Relationship Id="rId13" Type="http://schemas.openxmlformats.org/officeDocument/2006/relationships/hyperlink" Target="mailto:bladonk@oregonstate.edu" TargetMode="External"/><Relationship Id="rId1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hyperlink" Target="http://www.fs.fed.us/fmsc/fvs/" TargetMode="External"/><Relationship Id="rId1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2.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1.png"/><Relationship Id="rId10" Type="http://schemas.openxmlformats.org/officeDocument/2006/relationships/hyperlink" Target="mailto:segurac@oregonstate.edu"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bladonk@oregonstate.edu" TargetMode="External"/><Relationship Id="rId14" Type="http://schemas.openxmlformats.org/officeDocument/2006/relationships/hyperlink" Target="mailto:segurac@oregonstate.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27</Pages>
  <Words>9548</Words>
  <Characters>54426</Characters>
  <Application>Microsoft Office Word</Application>
  <DocSecurity>8</DocSecurity>
  <Lines>453</Lines>
  <Paragraphs>127</Paragraphs>
  <ScaleCrop>false</ScaleCrop>
  <HeadingPairs>
    <vt:vector size="2" baseType="variant">
      <vt:variant>
        <vt:lpstr>Title</vt:lpstr>
      </vt:variant>
      <vt:variant>
        <vt:i4>1</vt:i4>
      </vt:variant>
    </vt:vector>
  </HeadingPairs>
  <TitlesOfParts>
    <vt:vector size="1" baseType="lpstr">
      <vt:lpstr>Effectiveness of Class II Watercourse and Lake Protection Zone</vt:lpstr>
    </vt:vector>
  </TitlesOfParts>
  <Manager/>
  <Company/>
  <LinksUpToDate>false</LinksUpToDate>
  <CharactersWithSpaces>63847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Effectiveness of Class II Watercourse and Lake Protection Zone</dc:title>
  <dc:subject/>
  <dc:creator>Pompa, Connor@BOF</dc:creator>
  <cp:keywords/>
  <dc:description/>
  <cp:lastModifiedBy>Kemp, Mazonika@BOF</cp:lastModifiedBy>
  <cp:revision>3</cp:revision>
  <dcterms:created xsi:type="dcterms:W3CDTF">2019-08-29T15:57:00Z</dcterms:created>
  <dcterms:modified xsi:type="dcterms:W3CDTF">2021-12-16T20:32:00Z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2018-12-09T10:00:00Z</vt:filetime>
  </property>
  <property fmtid="{D5CDD505-2E9C-101B-9397-08002B2CF9AE}" pid="3" name="Creator">
    <vt:lpwstr>Adobe Acrobat Pro 11.0.23</vt:lpwstr>
  </property>
  <property fmtid="{D5CDD505-2E9C-101B-9397-08002B2CF9AE}" pid="4" name="LastSaved">
    <vt:filetime>2019-05-01T10:00:00Z</vt:filetime>
  </property>
</Properties>
</file>