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DB7F" w14:textId="77777777" w:rsidR="00E64520" w:rsidRPr="00E64520" w:rsidRDefault="00E64520" w:rsidP="00E64520">
      <w:pPr>
        <w:spacing w:after="160" w:line="259" w:lineRule="auto"/>
        <w:rPr>
          <w:rFonts w:cs="Times New Roman"/>
          <w:b/>
          <w:bCs/>
          <w:color w:val="auto"/>
          <w:sz w:val="24"/>
          <w:szCs w:val="24"/>
          <w:u w:val="single"/>
          <w:lang w:eastAsia="en-US"/>
        </w:rPr>
      </w:pPr>
      <w:r w:rsidRPr="00E64520">
        <w:rPr>
          <w:rFonts w:cs="Times New Roman"/>
          <w:b/>
          <w:bCs/>
          <w:color w:val="auto"/>
          <w:sz w:val="24"/>
          <w:szCs w:val="24"/>
          <w:u w:val="single"/>
          <w:lang w:eastAsia="en-US"/>
        </w:rPr>
        <w:t>DISCLAIMER</w:t>
      </w:r>
    </w:p>
    <w:p w14:paraId="6CE75F97" w14:textId="77777777" w:rsidR="00E64520" w:rsidRPr="00E64520" w:rsidRDefault="00E64520" w:rsidP="00E64520">
      <w:pPr>
        <w:spacing w:after="160" w:line="259" w:lineRule="auto"/>
        <w:rPr>
          <w:rFonts w:cs="Times New Roman"/>
          <w:b/>
          <w:bCs/>
          <w:color w:val="302C2D"/>
          <w:sz w:val="24"/>
          <w:szCs w:val="24"/>
          <w:lang w:eastAsia="en-US"/>
        </w:rPr>
      </w:pPr>
      <w:r w:rsidRPr="00E64520">
        <w:rPr>
          <w:rFonts w:cs="Times New Roman"/>
          <w:b/>
          <w:bCs/>
          <w:color w:val="4B4B4B"/>
          <w:sz w:val="24"/>
          <w:szCs w:val="24"/>
          <w:lang w:eastAsia="en-US"/>
        </w:rPr>
        <w:t xml:space="preserve">The information contained in this document is provided for general informational purposes only and should not be construed as legal or professional advice on any matter. The information herein may not reflect the most current legal or other developments and may not address your particular facts and circumstances. </w:t>
      </w:r>
      <w:r w:rsidRPr="00E64520">
        <w:rPr>
          <w:rFonts w:cs="Times New Roman"/>
          <w:b/>
          <w:bCs/>
          <w:color w:val="302C2D"/>
          <w:sz w:val="24"/>
          <w:szCs w:val="24"/>
          <w:lang w:eastAsia="en-US"/>
        </w:rPr>
        <w:t xml:space="preserve">You should not act or refrain from acting </w:t>
      </w:r>
      <w:proofErr w:type="gramStart"/>
      <w:r w:rsidRPr="00E64520">
        <w:rPr>
          <w:rFonts w:cs="Times New Roman"/>
          <w:b/>
          <w:bCs/>
          <w:color w:val="302C2D"/>
          <w:sz w:val="24"/>
          <w:szCs w:val="24"/>
          <w:lang w:eastAsia="en-US"/>
        </w:rPr>
        <w:t>on the basis of</w:t>
      </w:r>
      <w:proofErr w:type="gramEnd"/>
      <w:r w:rsidRPr="00E64520">
        <w:rPr>
          <w:rFonts w:cs="Times New Roman"/>
          <w:b/>
          <w:bCs/>
          <w:color w:val="302C2D"/>
          <w:sz w:val="24"/>
          <w:szCs w:val="24"/>
          <w:lang w:eastAsia="en-US"/>
        </w:rPr>
        <w:t xml:space="preserve"> any content included in this document, or making any contractual commitment or signing any agreement, without seeking appropriate legal or other professional advice.  The Range Management Advisory Committee, California Board of Forestry and Fire Protection, and the State of California disclaim all liability with respect to actions taken or not taken based on any or all the contents of this document to the fullest extent permitted by law.  The limitation of liability terms set forth at </w:t>
      </w:r>
      <w:hyperlink r:id="rId8" w:history="1">
        <w:r w:rsidRPr="00E64520">
          <w:rPr>
            <w:rFonts w:cs="Times New Roman"/>
            <w:b/>
            <w:bCs/>
            <w:color w:val="0000FF"/>
            <w:sz w:val="24"/>
            <w:szCs w:val="24"/>
            <w:u w:val="single"/>
            <w:lang w:eastAsia="en-US"/>
          </w:rPr>
          <w:t>https://www.ca.gov/use/#liability</w:t>
        </w:r>
      </w:hyperlink>
      <w:r w:rsidRPr="00E64520">
        <w:rPr>
          <w:rFonts w:cs="Times New Roman"/>
          <w:b/>
          <w:bCs/>
          <w:color w:val="302C2D"/>
          <w:sz w:val="24"/>
          <w:szCs w:val="24"/>
          <w:lang w:eastAsia="en-US"/>
        </w:rPr>
        <w:t xml:space="preserve"> apply to this document and the information contained herein.</w:t>
      </w:r>
    </w:p>
    <w:p w14:paraId="71538D93" w14:textId="77777777" w:rsidR="00E64520" w:rsidRDefault="00E64520">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AAE57FF" w14:textId="78AF1F60" w:rsidR="008A75C1" w:rsidRPr="008A75C1" w:rsidRDefault="008A75C1" w:rsidP="008A75C1">
      <w:pPr>
        <w:ind w:firstLine="720"/>
        <w:jc w:val="center"/>
        <w:rPr>
          <w:rFonts w:ascii="Times New Roman" w:eastAsia="Times New Roman" w:hAnsi="Times New Roman" w:cs="Times New Roman"/>
          <w:b/>
          <w:bCs/>
          <w:color w:val="000000"/>
          <w:sz w:val="28"/>
          <w:szCs w:val="28"/>
        </w:rPr>
      </w:pPr>
      <w:r w:rsidRPr="008A75C1">
        <w:rPr>
          <w:rFonts w:ascii="Times New Roman" w:eastAsia="Times New Roman" w:hAnsi="Times New Roman" w:cs="Times New Roman"/>
          <w:b/>
          <w:bCs/>
          <w:color w:val="000000"/>
          <w:sz w:val="28"/>
          <w:szCs w:val="28"/>
        </w:rPr>
        <w:lastRenderedPageBreak/>
        <w:t>Grazing Agreements for Public Lands</w:t>
      </w:r>
    </w:p>
    <w:p w14:paraId="0D72C9AD" w14:textId="367C9E72"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California was historically grazed by a variety of ruminants. With increasing population and development of land the vast herds of elk diminished and the state saw grazing become dominated by sheep, a trend driven by a high demand for wool. By the later part of the 20th century demand for wool had dramatically fallen and cattle became the primary grazers. As the 21st century </w:t>
      </w:r>
      <w:r w:rsidR="009B7429">
        <w:rPr>
          <w:rFonts w:ascii="Times New Roman" w:eastAsia="Times New Roman" w:hAnsi="Times New Roman" w:cs="Times New Roman"/>
          <w:bCs/>
          <w:color w:val="000000"/>
          <w:sz w:val="24"/>
          <w:szCs w:val="24"/>
        </w:rPr>
        <w:t xml:space="preserve">began </w:t>
      </w:r>
      <w:r w:rsidRPr="008A75C1">
        <w:rPr>
          <w:rFonts w:ascii="Times New Roman" w:eastAsia="Times New Roman" w:hAnsi="Times New Roman" w:cs="Times New Roman"/>
          <w:bCs/>
          <w:color w:val="000000"/>
          <w:sz w:val="24"/>
          <w:szCs w:val="24"/>
        </w:rPr>
        <w:t xml:space="preserve">there was a growing public desire to preserve </w:t>
      </w:r>
      <w:r w:rsidR="009B7429">
        <w:rPr>
          <w:rFonts w:ascii="Times New Roman" w:eastAsia="Times New Roman" w:hAnsi="Times New Roman" w:cs="Times New Roman"/>
          <w:bCs/>
          <w:color w:val="000000"/>
          <w:sz w:val="24"/>
          <w:szCs w:val="24"/>
        </w:rPr>
        <w:t xml:space="preserve">nature </w:t>
      </w:r>
      <w:r w:rsidRPr="008A75C1">
        <w:rPr>
          <w:rFonts w:ascii="Times New Roman" w:eastAsia="Times New Roman" w:hAnsi="Times New Roman" w:cs="Times New Roman"/>
          <w:bCs/>
          <w:color w:val="000000"/>
          <w:sz w:val="24"/>
          <w:szCs w:val="24"/>
        </w:rPr>
        <w:t>and eliminate human influences on public lands. Grazing to some became viewed as inappropriate. By 2020 however, the state was experiencing increasingly severe wild fires and attention became focused on what could be done to reduce fire risk. Much attention has been paid to longer term climate change issues, but more immediate responses focus on ignition sources and fuels.  From the fuel standpoint, having animals consume the vegetation has become an accepted means of fuel reduction and more attractive to some than using herbicides or mechanical tools.</w:t>
      </w:r>
    </w:p>
    <w:p w14:paraId="07AFA507" w14:textId="0EF6DF31"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To the extent that agencies are interested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2927B01E"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Between friends who trust each other a grazing agreement can be as simple as ‘sure, you can graze that parcel.’ Maybe some compensation is agreed </w:t>
      </w:r>
      <w:r w:rsidR="009B7429">
        <w:rPr>
          <w:rFonts w:ascii="Times New Roman" w:eastAsia="Times New Roman" w:hAnsi="Times New Roman" w:cs="Times New Roman"/>
          <w:bCs/>
          <w:color w:val="000000"/>
          <w:sz w:val="24"/>
          <w:szCs w:val="24"/>
        </w:rPr>
        <w:t>upon</w:t>
      </w:r>
      <w:r w:rsidRPr="008A75C1">
        <w:rPr>
          <w:rFonts w:ascii="Times New Roman" w:eastAsia="Times New Roman" w:hAnsi="Times New Roman" w:cs="Times New Roman"/>
          <w:bCs/>
          <w:color w:val="000000"/>
          <w:sz w:val="24"/>
          <w:szCs w:val="24"/>
        </w:rPr>
        <w:t xml:space="preserve">, like cash payment or building a fence line.  It has been said that if you are dealing with a person you can trust, a hand shake is all you need. With public contracting rules the conscientiousness of potential contractors can be hard to evaluate. That can be addressed in part by more elaborate ‘boilerplate’ in the contract, and site specific management plans. </w:t>
      </w:r>
      <w:r w:rsidR="009B7429">
        <w:rPr>
          <w:rFonts w:ascii="Times New Roman" w:eastAsia="Times New Roman" w:hAnsi="Times New Roman" w:cs="Times New Roman"/>
          <w:bCs/>
          <w:color w:val="000000"/>
          <w:sz w:val="24"/>
          <w:szCs w:val="24"/>
        </w:rPr>
        <w:t xml:space="preserve">Those </w:t>
      </w:r>
      <w:r w:rsidRPr="008A75C1">
        <w:rPr>
          <w:rFonts w:ascii="Times New Roman" w:eastAsia="Times New Roman" w:hAnsi="Times New Roman" w:cs="Times New Roman"/>
          <w:bCs/>
          <w:color w:val="000000"/>
          <w:sz w:val="24"/>
          <w:szCs w:val="24"/>
        </w:rPr>
        <w:t xml:space="preserve">aspects of the agreements </w:t>
      </w:r>
      <w:r w:rsidR="009B7429">
        <w:rPr>
          <w:rFonts w:ascii="Times New Roman" w:eastAsia="Times New Roman" w:hAnsi="Times New Roman" w:cs="Times New Roman"/>
          <w:bCs/>
          <w:color w:val="000000"/>
          <w:sz w:val="24"/>
          <w:szCs w:val="24"/>
        </w:rPr>
        <w:t xml:space="preserve">have been treated </w:t>
      </w:r>
      <w:r w:rsidRPr="008A75C1">
        <w:rPr>
          <w:rFonts w:ascii="Times New Roman" w:eastAsia="Times New Roman" w:hAnsi="Times New Roman" w:cs="Times New Roman"/>
          <w:bCs/>
          <w:color w:val="000000"/>
          <w:sz w:val="24"/>
          <w:szCs w:val="24"/>
        </w:rPr>
        <w:t xml:space="preserve">separately. </w:t>
      </w:r>
    </w:p>
    <w:p w14:paraId="4A9EFA7B" w14:textId="6080869B"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One major distinction within the grazing community is between sheep/goat grazers and cattle grazers. The former are typically paid to graze off vegetation to minimal levels. Their income is derived from fees for grazing. On the other hand, cattle grazers expect to pay to graze. </w:t>
      </w:r>
      <w:r w:rsidR="009B7429">
        <w:rPr>
          <w:rFonts w:ascii="Times New Roman" w:eastAsia="Times New Roman" w:hAnsi="Times New Roman" w:cs="Times New Roman"/>
          <w:bCs/>
          <w:color w:val="000000"/>
          <w:sz w:val="24"/>
          <w:szCs w:val="24"/>
        </w:rPr>
        <w:t>In general, t</w:t>
      </w:r>
      <w:r w:rsidRPr="008A75C1">
        <w:rPr>
          <w:rFonts w:ascii="Times New Roman" w:eastAsia="Times New Roman" w:hAnsi="Times New Roman" w:cs="Times New Roman"/>
          <w:bCs/>
          <w:color w:val="000000"/>
          <w:sz w:val="24"/>
          <w:szCs w:val="24"/>
        </w:rPr>
        <w:t>heir income is derived from selling animals by the pound</w:t>
      </w:r>
      <w:r w:rsidR="009B7429">
        <w:rPr>
          <w:rFonts w:ascii="Times New Roman" w:eastAsia="Times New Roman" w:hAnsi="Times New Roman" w:cs="Times New Roman"/>
          <w:bCs/>
          <w:color w:val="000000"/>
          <w:sz w:val="24"/>
          <w:szCs w:val="24"/>
        </w:rPr>
        <w:t>; therefore, they typically focus on weight gain</w:t>
      </w:r>
      <w:r w:rsidRPr="008A75C1">
        <w:rPr>
          <w:rFonts w:ascii="Times New Roman" w:eastAsia="Times New Roman" w:hAnsi="Times New Roman" w:cs="Times New Roman"/>
          <w:bCs/>
          <w:color w:val="000000"/>
          <w:sz w:val="24"/>
          <w:szCs w:val="24"/>
        </w:rPr>
        <w:t xml:space="preserve">. The selection of the type of grazer will depend on various factors such as type of vegetation, parcel sizes, </w:t>
      </w:r>
      <w:r w:rsidR="009B7429">
        <w:rPr>
          <w:rFonts w:ascii="Times New Roman" w:eastAsia="Times New Roman" w:hAnsi="Times New Roman" w:cs="Times New Roman"/>
          <w:bCs/>
          <w:color w:val="000000"/>
          <w:sz w:val="24"/>
          <w:szCs w:val="24"/>
        </w:rPr>
        <w:t xml:space="preserve">and </w:t>
      </w:r>
      <w:r w:rsidRPr="008A75C1">
        <w:rPr>
          <w:rFonts w:ascii="Times New Roman" w:eastAsia="Times New Roman" w:hAnsi="Times New Roman" w:cs="Times New Roman"/>
          <w:bCs/>
          <w:color w:val="000000"/>
          <w:sz w:val="24"/>
          <w:szCs w:val="24"/>
        </w:rPr>
        <w:t>available infrastructure</w:t>
      </w:r>
      <w:r w:rsidR="009B7429">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t>
      </w:r>
      <w:r w:rsidR="009B7429">
        <w:rPr>
          <w:rFonts w:ascii="Times New Roman" w:eastAsia="Times New Roman" w:hAnsi="Times New Roman" w:cs="Times New Roman"/>
          <w:bCs/>
          <w:color w:val="000000"/>
          <w:sz w:val="24"/>
          <w:szCs w:val="24"/>
        </w:rPr>
        <w:t>T</w:t>
      </w:r>
      <w:r w:rsidRPr="008A75C1">
        <w:rPr>
          <w:rFonts w:ascii="Times New Roman" w:eastAsia="Times New Roman" w:hAnsi="Times New Roman" w:cs="Times New Roman"/>
          <w:bCs/>
          <w:color w:val="000000"/>
          <w:sz w:val="24"/>
          <w:szCs w:val="24"/>
        </w:rPr>
        <w:t xml:space="preserve">hose </w:t>
      </w:r>
      <w:r w:rsidR="009B7429">
        <w:rPr>
          <w:rFonts w:ascii="Times New Roman" w:eastAsia="Times New Roman" w:hAnsi="Times New Roman" w:cs="Times New Roman"/>
          <w:bCs/>
          <w:color w:val="000000"/>
          <w:sz w:val="24"/>
          <w:szCs w:val="24"/>
        </w:rPr>
        <w:t xml:space="preserve">factors </w:t>
      </w:r>
      <w:r w:rsidRPr="008A75C1">
        <w:rPr>
          <w:rFonts w:ascii="Times New Roman" w:eastAsia="Times New Roman" w:hAnsi="Times New Roman" w:cs="Times New Roman"/>
          <w:bCs/>
          <w:color w:val="000000"/>
          <w:sz w:val="24"/>
          <w:szCs w:val="24"/>
        </w:rPr>
        <w:t xml:space="preserve">need to be </w:t>
      </w:r>
      <w:r w:rsidR="009B7429">
        <w:rPr>
          <w:rFonts w:ascii="Times New Roman" w:eastAsia="Times New Roman" w:hAnsi="Times New Roman" w:cs="Times New Roman"/>
          <w:bCs/>
          <w:color w:val="000000"/>
          <w:sz w:val="24"/>
          <w:szCs w:val="24"/>
        </w:rPr>
        <w:t xml:space="preserve">considered </w:t>
      </w:r>
      <w:r w:rsidRPr="008A75C1">
        <w:rPr>
          <w:rFonts w:ascii="Times New Roman" w:eastAsia="Times New Roman" w:hAnsi="Times New Roman" w:cs="Times New Roman"/>
          <w:bCs/>
          <w:color w:val="000000"/>
          <w:sz w:val="24"/>
          <w:szCs w:val="24"/>
        </w:rPr>
        <w:t xml:space="preserve">before </w:t>
      </w:r>
      <w:r w:rsidR="009B7429">
        <w:rPr>
          <w:rFonts w:ascii="Times New Roman" w:eastAsia="Times New Roman" w:hAnsi="Times New Roman" w:cs="Times New Roman"/>
          <w:bCs/>
          <w:color w:val="000000"/>
          <w:sz w:val="24"/>
          <w:szCs w:val="24"/>
        </w:rPr>
        <w:t xml:space="preserve">executing </w:t>
      </w:r>
      <w:r w:rsidRPr="008A75C1">
        <w:rPr>
          <w:rFonts w:ascii="Times New Roman" w:eastAsia="Times New Roman" w:hAnsi="Times New Roman" w:cs="Times New Roman"/>
          <w:bCs/>
          <w:color w:val="000000"/>
          <w:sz w:val="24"/>
          <w:szCs w:val="24"/>
        </w:rPr>
        <w:t xml:space="preserve">contracts. </w:t>
      </w:r>
    </w:p>
    <w:p w14:paraId="516B6B8D" w14:textId="14DE5D60"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Once a tentative decision has been made to contract with a grazer, the type of agreement needs to be </w:t>
      </w:r>
      <w:r w:rsidR="00EB132E">
        <w:rPr>
          <w:rFonts w:ascii="Times New Roman" w:eastAsia="Times New Roman" w:hAnsi="Times New Roman" w:cs="Times New Roman"/>
          <w:bCs/>
          <w:color w:val="000000"/>
          <w:sz w:val="24"/>
          <w:szCs w:val="24"/>
        </w:rPr>
        <w:t>chosen</w:t>
      </w:r>
      <w:r w:rsidRPr="008A75C1">
        <w:rPr>
          <w:rFonts w:ascii="Times New Roman" w:eastAsia="Times New Roman" w:hAnsi="Times New Roman" w:cs="Times New Roman"/>
          <w:bCs/>
          <w:color w:val="000000"/>
          <w:sz w:val="24"/>
          <w:szCs w:val="24"/>
        </w:rPr>
        <w:t xml:space="preserve">. Typically a “lease” gives the lessor the right of possession of the property. For instance, if Parcel X is ‘leased’ to Party Z then Z can occupy and use the whole parcel. Although the lease could provide that it does not cover various structures or </w:t>
      </w:r>
      <w:proofErr w:type="gramStart"/>
      <w:r w:rsidRPr="008A75C1">
        <w:rPr>
          <w:rFonts w:ascii="Times New Roman" w:eastAsia="Times New Roman" w:hAnsi="Times New Roman" w:cs="Times New Roman"/>
          <w:bCs/>
          <w:color w:val="000000"/>
          <w:sz w:val="24"/>
          <w:szCs w:val="24"/>
        </w:rPr>
        <w:t>locations</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and</w:t>
      </w:r>
      <w:proofErr w:type="gramEnd"/>
      <w:r w:rsidRPr="008A75C1">
        <w:rPr>
          <w:rFonts w:ascii="Times New Roman" w:eastAsia="Times New Roman" w:hAnsi="Times New Roman" w:cs="Times New Roman"/>
          <w:bCs/>
          <w:color w:val="000000"/>
          <w:sz w:val="24"/>
          <w:szCs w:val="24"/>
        </w:rPr>
        <w:t xml:space="preserve"> use by others was </w:t>
      </w:r>
      <w:r w:rsidRPr="008A75C1">
        <w:rPr>
          <w:rFonts w:ascii="Times New Roman" w:eastAsia="Times New Roman" w:hAnsi="Times New Roman" w:cs="Times New Roman"/>
          <w:bCs/>
          <w:color w:val="000000"/>
          <w:sz w:val="24"/>
          <w:szCs w:val="24"/>
        </w:rPr>
        <w:lastRenderedPageBreak/>
        <w:t>to be allowed</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those agreements are more properly defined as ‘licenses’</w:t>
      </w:r>
      <w:r w:rsidR="00EB132E">
        <w:rPr>
          <w:rFonts w:ascii="Times New Roman" w:eastAsia="Times New Roman" w:hAnsi="Times New Roman" w:cs="Times New Roman"/>
          <w:bCs/>
          <w:color w:val="000000"/>
          <w:sz w:val="24"/>
          <w:szCs w:val="24"/>
        </w:rPr>
        <w:t xml:space="preserve">. These licenses permit </w:t>
      </w:r>
      <w:r w:rsidRPr="008A75C1">
        <w:rPr>
          <w:rFonts w:ascii="Times New Roman" w:eastAsia="Times New Roman" w:hAnsi="Times New Roman" w:cs="Times New Roman"/>
          <w:bCs/>
          <w:color w:val="000000"/>
          <w:sz w:val="24"/>
          <w:szCs w:val="24"/>
        </w:rPr>
        <w:t>limited use (like grazing) on the property</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which itself remains under the control of the landlord agency. A license to graze a parcel would not normally entitle the grazer to exclusive possession of the property, but simply a right to graze in accordance with the terms of the license which may include a grazing management plan tailored to the specific property.</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2CD26A07"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agreements</w:t>
      </w:r>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6BAE77C2"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(e.g.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w:t>
      </w:r>
      <w:r w:rsidR="00EB132E">
        <w:rPr>
          <w:rFonts w:ascii="Times New Roman" w:eastAsia="Times New Roman" w:hAnsi="Times New Roman" w:cs="Times New Roman"/>
          <w:color w:val="000000"/>
          <w:sz w:val="24"/>
          <w:szCs w:val="24"/>
        </w:rPr>
        <w:t>)</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authority to lease property</w:t>
      </w:r>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CC75D6">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000000F" w14:textId="108F24C0" w:rsidR="009C381D" w:rsidRPr="00356D70" w:rsidRDefault="001C4B68"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bookmarkStart w:id="0" w:name="_heading=h.gjdgxs" w:colFirst="0" w:colLast="0"/>
      <w:bookmarkEnd w:id="0"/>
      <w:r w:rsidRPr="00356D70">
        <w:rPr>
          <w:rFonts w:ascii="Times New Roman" w:eastAsia="Times New Roman" w:hAnsi="Times New Roman" w:cs="Times New Roman"/>
          <w:color w:val="000000"/>
          <w:sz w:val="24"/>
          <w:szCs w:val="24"/>
        </w:rPr>
        <w:t>Map or aerial photo of property if feasible</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CC75D6">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024BD78"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173402">
        <w:rPr>
          <w:rFonts w:ascii="Times New Roman" w:eastAsia="Times New Roman" w:hAnsi="Times New Roman" w:cs="Times New Roman"/>
          <w:color w:val="000000"/>
          <w:sz w:val="24"/>
          <w:szCs w:val="24"/>
        </w:rPr>
        <w:t>applicable.  Include ability to change o</w:t>
      </w:r>
      <w:r w:rsidR="00C3228B">
        <w:rPr>
          <w:rFonts w:ascii="Times New Roman" w:eastAsia="Times New Roman" w:hAnsi="Times New Roman" w:cs="Times New Roman"/>
          <w:color w:val="000000"/>
          <w:sz w:val="24"/>
          <w:szCs w:val="24"/>
        </w:rPr>
        <w:t>n/off dates based on conditions</w:t>
      </w:r>
    </w:p>
    <w:p w14:paraId="00000014" w14:textId="692860E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r w:rsidR="00FB5454">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failing to comply with terms of linked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sdtContent>
      </w:sdt>
      <w:sdt>
        <w:sdtPr>
          <w:tag w:val="goog_rdk_29"/>
          <w:id w:val="-1674644603"/>
          <w:showingPlcHdr/>
        </w:sdtPr>
        <w:sdtEndPr/>
        <w:sdtContent>
          <w:r w:rsidR="000462CC">
            <w:t xml:space="preserve">     </w:t>
          </w:r>
        </w:sdtContent>
      </w:sdt>
      <w:r>
        <w:rPr>
          <w:rFonts w:ascii="Times New Roman" w:eastAsia="Times New Roman" w:hAnsi="Times New Roman" w:cs="Times New Roman"/>
          <w:color w:val="000000"/>
          <w:sz w:val="24"/>
          <w:szCs w:val="24"/>
        </w:rPr>
        <w:t xml:space="preserve"> </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figured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6218C5BF"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r w:rsidR="00FB5454" w:rsidRPr="000E52E5">
        <w:rPr>
          <w:rFonts w:ascii="Times New Roman" w:eastAsia="Times New Roman" w:hAnsi="Times New Roman" w:cs="Times New Roman"/>
          <w:color w:val="000000"/>
          <w:sz w:val="24"/>
          <w:szCs w:val="24"/>
        </w:rPr>
        <w:t>e.g.</w:t>
      </w:r>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utilities </w:t>
      </w:r>
    </w:p>
    <w:p w14:paraId="1AA52EA8" w14:textId="4C862CD2"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payments with due dates if payments are being made BY the agency</w:t>
      </w:r>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service providers (primarily sheep and goat operations) charge for grazing with prices figured on size of area to be treated, the terrain, type of </w:t>
      </w:r>
      <w:r>
        <w:rPr>
          <w:rFonts w:ascii="Times New Roman" w:eastAsia="Times New Roman" w:hAnsi="Times New Roman" w:cs="Times New Roman"/>
          <w:color w:val="000000"/>
          <w:sz w:val="24"/>
          <w:szCs w:val="24"/>
        </w:rPr>
        <w:lastRenderedPageBreak/>
        <w:t>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property taxes on site improvements and infrastructure should be considered</w:t>
      </w:r>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CC75D6">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Those taxes are set by the local county to require a person in possession of otherwise tax exempt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or a service being provided</w:t>
      </w:r>
    </w:p>
    <w:p w14:paraId="00000024" w14:textId="2B8CD81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include policies on other/associated aspects such as ATVs, horses, trucks, supplemental feeding, farming, hunting, etc.</w:t>
      </w:r>
      <w:r w:rsidR="00D72122">
        <w:rPr>
          <w:rFonts w:ascii="Times New Roman" w:eastAsia="Times New Roman" w:hAnsi="Times New Roman" w:cs="Times New Roman"/>
          <w:color w:val="000000"/>
          <w:sz w:val="24"/>
          <w:szCs w:val="24"/>
        </w:rPr>
        <w:br/>
      </w:r>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who is allowed to enter/use the property</w:t>
      </w:r>
    </w:p>
    <w:sdt>
      <w:sdtPr>
        <w:tag w:val="goog_rdk_50"/>
        <w:id w:val="-540594455"/>
      </w:sdtPr>
      <w:sdtEndPr/>
      <w:sdtContent>
        <w:p w14:paraId="00000027" w14:textId="6704BF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sdt>
            <w:sdtPr>
              <w:tag w:val="goog_rdk_49"/>
              <w:id w:val="928008755"/>
              <w:showingPlcHdr/>
            </w:sdtPr>
            <w:sdtEndPr/>
            <w:sdtContent>
              <w:r w:rsidR="001F62E0">
                <w:t xml:space="preserve">     </w:t>
              </w:r>
            </w:sdtContent>
          </w:sdt>
        </w:p>
      </w:sdtContent>
    </w:sdt>
    <w:sdt>
      <w:sdtPr>
        <w:tag w:val="goog_rdk_52"/>
        <w:id w:val="1075936155"/>
      </w:sdtPr>
      <w:sdtEndPr/>
      <w:sdtContent>
        <w:p w14:paraId="00000028" w14:textId="6039A4BB" w:rsidR="009C381D" w:rsidRDefault="00CC75D6"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d length of the contract period</w:t>
      </w:r>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also depend on whether others will have use of the infrastructure</w:t>
      </w:r>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provision can be included to share costs e.g.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ted share of the costs involved</w:t>
      </w:r>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projects</w:t>
      </w:r>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Typically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0441501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associated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w:t>
      </w:r>
      <w:r w:rsidR="00EB13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but</w:t>
      </w:r>
      <w:r w:rsidR="00EB132E">
        <w:rPr>
          <w:rFonts w:ascii="Times New Roman" w:eastAsia="Times New Roman" w:hAnsi="Times New Roman" w:cs="Times New Roman"/>
          <w:color w:val="000000"/>
          <w:sz w:val="24"/>
          <w:szCs w:val="24"/>
        </w:rPr>
        <w:t>,</w:t>
      </w:r>
      <w:proofErr w:type="gramEnd"/>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include any soil altering practices that are allowed or not allowed</w:t>
      </w:r>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CC75D6">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p w14:paraId="00000033" w14:textId="2F0D8D44" w:rsidR="009C381D" w:rsidRDefault="00CC75D6">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61"/>
              <w:id w:val="1382130068"/>
            </w:sdtPr>
            <w:sdtEndPr/>
            <w:sdtContent>
              <w:r w:rsidR="001C4B68">
                <w:rPr>
                  <w:rFonts w:ascii="Times New Roman" w:eastAsia="Times New Roman" w:hAnsi="Times New Roman" w:cs="Times New Roman"/>
                  <w:color w:val="000000"/>
                  <w:sz w:val="24"/>
                  <w:szCs w:val="24"/>
                </w:rPr>
                <w:t>Restrictions on appurtenant or temporary structures</w:t>
              </w:r>
              <w:r w:rsidR="00D30624">
                <w:rPr>
                  <w:rFonts w:ascii="Times New Roman" w:eastAsia="Times New Roman" w:hAnsi="Times New Roman" w:cs="Times New Roman"/>
                  <w:color w:val="000000"/>
                  <w:sz w:val="24"/>
                  <w:szCs w:val="24"/>
                </w:rPr>
                <w:br/>
              </w:r>
            </w:sdtContent>
          </w:sdt>
        </w:p>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r>
        <w:rPr>
          <w:rFonts w:ascii="Times New Roman" w:eastAsia="Times New Roman" w:hAnsi="Times New Roman" w:cs="Times New Roman"/>
          <w:color w:val="000000"/>
          <w:sz w:val="24"/>
          <w:szCs w:val="24"/>
        </w:rPr>
        <w:t xml:space="preserve">landlord </w:t>
      </w:r>
    </w:p>
    <w:p w14:paraId="00000036" w14:textId="70B1DAC8"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multiple use / public access lands where the grazer may have little role in the injury this requirement might be addressed by listing the landlord agency as an ‘other insured’ on the grazers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in the event that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1" w14:textId="5EBDC74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Default provisions and remedies</w:t>
      </w:r>
    </w:p>
    <w:p w14:paraId="6B89D2D8" w14:textId="22EB23EF" w:rsidR="0015511A"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of events that would constitute a default and brea</w:t>
      </w:r>
      <w:r w:rsidR="0015511A">
        <w:rPr>
          <w:rFonts w:ascii="Times New Roman" w:eastAsia="Times New Roman" w:hAnsi="Times New Roman" w:cs="Times New Roman"/>
          <w:color w:val="000000"/>
          <w:sz w:val="24"/>
          <w:szCs w:val="24"/>
        </w:rPr>
        <w:t xml:space="preserve">ch of the license by the </w:t>
      </w:r>
      <w:r w:rsidR="00687C28">
        <w:rPr>
          <w:rFonts w:ascii="Times New Roman" w:eastAsia="Times New Roman" w:hAnsi="Times New Roman" w:cs="Times New Roman"/>
          <w:color w:val="000000"/>
          <w:sz w:val="24"/>
          <w:szCs w:val="24"/>
        </w:rPr>
        <w:t xml:space="preserve">agency </w:t>
      </w:r>
      <w:r w:rsidR="0015511A">
        <w:rPr>
          <w:rFonts w:ascii="Times New Roman" w:eastAsia="Times New Roman" w:hAnsi="Times New Roman" w:cs="Times New Roman"/>
          <w:color w:val="000000"/>
          <w:sz w:val="24"/>
          <w:szCs w:val="24"/>
        </w:rPr>
        <w:t xml:space="preserve">or the </w:t>
      </w:r>
      <w:r w:rsidR="00687C28">
        <w:rPr>
          <w:rFonts w:ascii="Times New Roman" w:eastAsia="Times New Roman" w:hAnsi="Times New Roman" w:cs="Times New Roman"/>
          <w:color w:val="000000"/>
          <w:sz w:val="24"/>
          <w:szCs w:val="24"/>
        </w:rPr>
        <w:t>contracting party</w:t>
      </w:r>
    </w:p>
    <w:p w14:paraId="00000045" w14:textId="0DF33FB9" w:rsidR="009C381D" w:rsidRPr="00687C28" w:rsidRDefault="001C4B68" w:rsidP="00687C2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may include vacating or abandoning the property, failure to make payment, failure to comply with applicable laws, or failure to comply with or complete other stipulations of </w:t>
      </w:r>
      <w:r w:rsidR="00687C2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agreement</w:t>
      </w:r>
      <w:r w:rsidR="0015511A">
        <w:rPr>
          <w:rFonts w:ascii="Times New Roman" w:eastAsia="Times New Roman" w:hAnsi="Times New Roman" w:cs="Times New Roman"/>
          <w:color w:val="000000"/>
          <w:sz w:val="24"/>
          <w:szCs w:val="24"/>
        </w:rPr>
        <w:t xml:space="preserve"> or agency conduct that significa</w:t>
      </w:r>
      <w:r w:rsidR="00687C28">
        <w:rPr>
          <w:rFonts w:ascii="Times New Roman" w:eastAsia="Times New Roman" w:hAnsi="Times New Roman" w:cs="Times New Roman"/>
          <w:color w:val="000000"/>
          <w:sz w:val="24"/>
          <w:szCs w:val="24"/>
        </w:rPr>
        <w:t>ntly limits anticipated grazing</w:t>
      </w:r>
      <w:r w:rsidR="0015511A" w:rsidRPr="00687C28">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Dispute resolution</w:t>
      </w:r>
    </w:p>
    <w:p w14:paraId="00000047" w14:textId="281C9BAA"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Pr>
          <w:rFonts w:ascii="Times New Roman" w:eastAsia="Times New Roman" w:hAnsi="Times New Roman" w:cs="Times New Roman"/>
          <w:color w:val="000000"/>
          <w:sz w:val="24"/>
          <w:szCs w:val="24"/>
        </w:rPr>
        <w:br/>
      </w:r>
    </w:p>
    <w:p w14:paraId="00000048" w14:textId="77777777" w:rsidR="009C381D" w:rsidRPr="004F4215" w:rsidRDefault="001C4B68">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20.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the parties</w:t>
      </w:r>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parties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headerReference w:type="even" r:id="rId9"/>
      <w:head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79CD" w14:textId="77777777" w:rsidR="00586779" w:rsidRDefault="00586779">
      <w:pPr>
        <w:spacing w:after="0" w:line="240" w:lineRule="auto"/>
      </w:pPr>
      <w:r>
        <w:separator/>
      </w:r>
    </w:p>
  </w:endnote>
  <w:endnote w:type="continuationSeparator" w:id="0">
    <w:p w14:paraId="70A1BC98" w14:textId="77777777" w:rsidR="00586779" w:rsidRDefault="0058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5354" w14:textId="77777777" w:rsidR="00586779" w:rsidRDefault="00586779">
      <w:pPr>
        <w:spacing w:after="0" w:line="240" w:lineRule="auto"/>
      </w:pPr>
      <w:r>
        <w:separator/>
      </w:r>
    </w:p>
  </w:footnote>
  <w:footnote w:type="continuationSeparator" w:id="0">
    <w:p w14:paraId="792C6ED2" w14:textId="77777777" w:rsidR="00586779" w:rsidRDefault="0058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2F94" w14:textId="66D2C512" w:rsidR="00E64520" w:rsidRDefault="00CC75D6">
    <w:pPr>
      <w:pStyle w:val="Header"/>
    </w:pPr>
    <w:r>
      <w:rPr>
        <w:noProof/>
      </w:rPr>
      <w:pict w14:anchorId="06362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945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6A71FDC4" w:rsidR="009C381D" w:rsidRDefault="00E64520">
    <w:r w:rsidRPr="001E20E9">
      <w:rPr>
        <w:i/>
        <w:iCs/>
      </w:rPr>
      <w:t>State Lands Grazing License</w:t>
    </w:r>
    <w:r>
      <w:rPr>
        <w:i/>
        <w:iCs/>
      </w:rPr>
      <w:t xml:space="preserve"> Template – DRAFT July 2022</w:t>
    </w:r>
    <w:r w:rsidR="00CC75D6">
      <w:rPr>
        <w:noProof/>
      </w:rPr>
      <w:pict w14:anchorId="7715E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9455"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33B1" w14:textId="616EA3DA" w:rsidR="00E64520" w:rsidRDefault="00CC75D6">
    <w:pPr>
      <w:pStyle w:val="Header"/>
    </w:pPr>
    <w:r>
      <w:rPr>
        <w:noProof/>
      </w:rPr>
      <w:pict w14:anchorId="19D02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945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72539354">
    <w:abstractNumId w:val="0"/>
  </w:num>
  <w:num w:numId="2" w16cid:durableId="199826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YgnLHAqNFvcmMBz6Dkr5Odrk8SQFguwLg4PBd9PuwbAro54UmDe1yJXM2cSkSyHE2MXg0smqzni1mUMvgUjoA==" w:salt="ygC86A0l1w70I0D79HbiH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E52E5"/>
    <w:rsid w:val="00105BDE"/>
    <w:rsid w:val="0015511A"/>
    <w:rsid w:val="00155FB6"/>
    <w:rsid w:val="00166D40"/>
    <w:rsid w:val="00173402"/>
    <w:rsid w:val="0018720C"/>
    <w:rsid w:val="001B6546"/>
    <w:rsid w:val="001C4B68"/>
    <w:rsid w:val="001F62E0"/>
    <w:rsid w:val="00314428"/>
    <w:rsid w:val="00333DC5"/>
    <w:rsid w:val="00356D70"/>
    <w:rsid w:val="004032D5"/>
    <w:rsid w:val="00421B32"/>
    <w:rsid w:val="004E427B"/>
    <w:rsid w:val="004F4215"/>
    <w:rsid w:val="00566D35"/>
    <w:rsid w:val="00586779"/>
    <w:rsid w:val="005B0908"/>
    <w:rsid w:val="0063360F"/>
    <w:rsid w:val="00687C28"/>
    <w:rsid w:val="00723DF8"/>
    <w:rsid w:val="00730E2E"/>
    <w:rsid w:val="00770F42"/>
    <w:rsid w:val="00854919"/>
    <w:rsid w:val="008A2F6C"/>
    <w:rsid w:val="008A75C1"/>
    <w:rsid w:val="009B7429"/>
    <w:rsid w:val="009C381D"/>
    <w:rsid w:val="00C3228B"/>
    <w:rsid w:val="00CA0F4E"/>
    <w:rsid w:val="00CC75D6"/>
    <w:rsid w:val="00D30624"/>
    <w:rsid w:val="00D72122"/>
    <w:rsid w:val="00D86637"/>
    <w:rsid w:val="00DA1E42"/>
    <w:rsid w:val="00E033E5"/>
    <w:rsid w:val="00E301EB"/>
    <w:rsid w:val="00E64520"/>
    <w:rsid w:val="00EB132E"/>
    <w:rsid w:val="00F50EFF"/>
    <w:rsid w:val="00FB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1F413A"/>
  <w15:docId w15:val="{3AEAD521-4266-48AF-8E1B-6C3210C5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6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20"/>
    <w:rPr>
      <w:color w:val="44546A" w:themeColor="text2"/>
      <w:lang w:eastAsia="ja-JP"/>
    </w:rPr>
  </w:style>
  <w:style w:type="paragraph" w:styleId="Footer">
    <w:name w:val="footer"/>
    <w:basedOn w:val="Normal"/>
    <w:link w:val="FooterChar"/>
    <w:uiPriority w:val="99"/>
    <w:unhideWhenUsed/>
    <w:rsid w:val="00E6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20"/>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ca.gov%2Fuse%2F%23liability&amp;data=05%7C01%7CKristina.Wolf%40bof.ca.gov%7C55af548e3018458526f708da808d4c68%7C447a4ca05405454dad68c98a520261f8%7C1%7C0%7C637963641611521301%7CUnknown%7CTWFpbGZsb3d8eyJWIjoiMC4wLjAwMDAiLCJQIjoiV2luMzIiLCJBTiI6Ik1haWwiLCJXVCI6Mn0%3D%7C3000%7C%7C%7C&amp;sdata=3mrZuQzqd5XaaacFqOjHWxq1qX3rp80w%2BAnVOkpVvcE%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1715</Words>
  <Characters>9779</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Kristina@BOF</dc:creator>
  <cp:lastModifiedBy>Kemp, Mazonika@BOF</cp:lastModifiedBy>
  <cp:revision>5</cp:revision>
  <dcterms:created xsi:type="dcterms:W3CDTF">2022-07-20T00:18:00Z</dcterms:created>
  <dcterms:modified xsi:type="dcterms:W3CDTF">2022-08-18T19:42:00Z</dcterms:modified>
</cp:coreProperties>
</file>