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D7D6" w14:textId="77777777" w:rsidR="00C545A6" w:rsidRPr="00C545A6" w:rsidRDefault="00C545A6" w:rsidP="00EC28B9">
      <w:pPr>
        <w:spacing w:after="0" w:line="508" w:lineRule="atLeast"/>
        <w:jc w:val="center"/>
        <w:rPr>
          <w:rFonts w:ascii="Arial" w:hAnsi="Arial" w:cs="Arial"/>
          <w:b/>
          <w:color w:val="FFFFFF" w:themeColor="background1"/>
          <w:sz w:val="8"/>
          <w:szCs w:val="24"/>
        </w:rPr>
      </w:pPr>
      <w:bookmarkStart w:id="0" w:name="_GoBack"/>
      <w:bookmarkEnd w:id="0"/>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14:paraId="404FE6A9"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Board of Forestry and Fire Protection</w:t>
      </w:r>
    </w:p>
    <w:p w14:paraId="5450CAE5" w14:textId="77777777" w:rsidR="00875D17" w:rsidRPr="00C545A6" w:rsidRDefault="00875D17" w:rsidP="00C545A6">
      <w:pPr>
        <w:pStyle w:val="Title"/>
      </w:pPr>
      <w:r w:rsidRPr="00C545A6">
        <w:t>“</w:t>
      </w:r>
      <w:r w:rsidR="00FF5080" w:rsidRPr="00C545A6">
        <w:t>LTO EDUCATION AND LIMITED LTO</w:t>
      </w:r>
      <w:r w:rsidRPr="00C545A6">
        <w:t>”</w:t>
      </w:r>
    </w:p>
    <w:p w14:paraId="3A848371"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14:paraId="08B34E23"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14:paraId="61C93E26"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14:paraId="006222CE" w14:textId="77777777" w:rsidR="00875D17" w:rsidRDefault="00875D17" w:rsidP="00EC28B9">
      <w:pPr>
        <w:spacing w:after="0" w:line="508" w:lineRule="atLeast"/>
        <w:rPr>
          <w:rFonts w:ascii="Arial" w:hAnsi="Arial" w:cs="Arial"/>
          <w:b/>
          <w:sz w:val="24"/>
          <w:szCs w:val="24"/>
        </w:rPr>
      </w:pPr>
    </w:p>
    <w:p w14:paraId="4FDDFAFF" w14:textId="77777777" w:rsidR="00EC28B9" w:rsidRPr="00847F05" w:rsidRDefault="00EC28B9" w:rsidP="00C545A6">
      <w:pPr>
        <w:pStyle w:val="Heading1"/>
      </w:pPr>
      <w:r w:rsidRPr="00847F05">
        <w:t>§1022. License</w:t>
      </w:r>
    </w:p>
    <w:p w14:paraId="11F2F164" w14:textId="73162A09" w:rsidR="00EC28B9" w:rsidRPr="00672617" w:rsidRDefault="00EC28B9" w:rsidP="00EC28B9">
      <w:pPr>
        <w:widowControl w:val="0"/>
        <w:spacing w:after="0" w:line="508" w:lineRule="atLeast"/>
        <w:rPr>
          <w:rFonts w:ascii="Arial" w:hAnsi="Arial" w:cs="Arial"/>
          <w:color w:val="FF0000"/>
          <w:sz w:val="24"/>
          <w:szCs w:val="24"/>
          <w:u w:val="single"/>
          <w:lang w:val="en"/>
        </w:rPr>
      </w:pPr>
      <w:r w:rsidRPr="00847F05">
        <w:rPr>
          <w:rFonts w:ascii="Arial" w:hAnsi="Arial" w:cs="Arial"/>
          <w:sz w:val="24"/>
          <w:szCs w:val="24"/>
          <w:lang w:val="en"/>
        </w:rPr>
        <w:t xml:space="preserve">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w:t>
      </w:r>
      <w:r w:rsidR="00D940D8">
        <w:rPr>
          <w:rFonts w:ascii="Arial" w:hAnsi="Arial" w:cs="Arial"/>
          <w:color w:val="FF0000"/>
          <w:sz w:val="24"/>
          <w:szCs w:val="24"/>
          <w:u w:val="single"/>
          <w:lang w:val="en"/>
        </w:rPr>
        <w:t>.</w:t>
      </w:r>
    </w:p>
    <w:p w14:paraId="302348A5" w14:textId="19E73418" w:rsidR="00EC28B9" w:rsidRPr="00672617" w:rsidRDefault="00EC28B9" w:rsidP="00EC28B9">
      <w:pPr>
        <w:widowControl w:val="0"/>
        <w:spacing w:after="0" w:line="508" w:lineRule="atLeast"/>
        <w:rPr>
          <w:rFonts w:ascii="Arial" w:hAnsi="Arial" w:cs="Arial"/>
          <w:color w:val="FF0000"/>
          <w:sz w:val="24"/>
          <w:szCs w:val="24"/>
          <w:u w:val="single"/>
          <w:lang w:val="en"/>
        </w:rPr>
      </w:pPr>
    </w:p>
    <w:p w14:paraId="188ABB58" w14:textId="7432937D"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w:t>
      </w:r>
      <w:r w:rsidR="00F13E7D">
        <w:rPr>
          <w:rFonts w:ascii="Arial" w:hAnsi="Arial" w:cs="Arial"/>
          <w:color w:val="FF0000"/>
          <w:sz w:val="24"/>
          <w:szCs w:val="24"/>
          <w:u w:val="single"/>
          <w:lang w:val="en"/>
        </w:rPr>
        <w:t>2</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14:paraId="1D41DBAA" w14:textId="77777777" w:rsidR="00EC28B9" w:rsidRPr="00875D17" w:rsidRDefault="00EC28B9" w:rsidP="00EC28B9">
      <w:pPr>
        <w:widowControl w:val="0"/>
        <w:spacing w:after="0" w:line="508" w:lineRule="atLeast"/>
        <w:rPr>
          <w:rFonts w:ascii="Arial" w:hAnsi="Arial" w:cs="Arial"/>
          <w:b/>
          <w:sz w:val="24"/>
          <w:szCs w:val="24"/>
        </w:rPr>
      </w:pPr>
    </w:p>
    <w:p w14:paraId="0294C12F" w14:textId="77777777" w:rsidR="00875D17" w:rsidRPr="00875D17" w:rsidRDefault="00875D17" w:rsidP="00C545A6">
      <w:pPr>
        <w:pStyle w:val="Heading1"/>
      </w:pPr>
      <w:r w:rsidRPr="00875D17">
        <w:t xml:space="preserve">§ 1022.1. </w:t>
      </w:r>
      <w:r w:rsidR="00874975" w:rsidRPr="00874975">
        <w:rPr>
          <w:color w:val="FF0000"/>
          <w:u w:val="single"/>
        </w:rPr>
        <w:t xml:space="preserve">Timber Operator License, </w:t>
      </w:r>
      <w:r w:rsidRPr="00875D17">
        <w:t>Limited Timber Operator License</w:t>
      </w:r>
      <w:r w:rsidR="00874975" w:rsidRPr="00874975">
        <w:rPr>
          <w:color w:val="FF0000"/>
          <w:u w:val="single"/>
        </w:rPr>
        <w:t>, and Restricted Timber Operator License</w:t>
      </w:r>
      <w:r w:rsidRPr="00875D17">
        <w:t>.</w:t>
      </w:r>
    </w:p>
    <w:p w14:paraId="1FC3D2EF" w14:textId="77777777"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D940D8">
        <w:rPr>
          <w:rFonts w:ascii="Arial" w:hAnsi="Arial" w:cs="Arial"/>
          <w:color w:val="FF0000"/>
          <w:sz w:val="24"/>
          <w:szCs w:val="24"/>
          <w:u w:val="single"/>
        </w:rPr>
        <w:t xml:space="preserve">all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w:t>
      </w:r>
      <w:r w:rsidR="00D940D8">
        <w:rPr>
          <w:rFonts w:ascii="Arial" w:hAnsi="Arial" w:cs="Arial"/>
          <w:color w:val="FF0000"/>
          <w:sz w:val="24"/>
          <w:szCs w:val="24"/>
          <w:u w:val="single"/>
        </w:rPr>
        <w:t>, or “(</w:t>
      </w:r>
      <w:r w:rsidRPr="00672617">
        <w:rPr>
          <w:rFonts w:ascii="Arial" w:hAnsi="Arial" w:cs="Arial"/>
          <w:color w:val="FF0000"/>
          <w:sz w:val="24"/>
          <w:szCs w:val="24"/>
          <w:u w:val="single"/>
        </w:rPr>
        <w:t>A)</w:t>
      </w:r>
      <w:r w:rsidR="00D940D8">
        <w:rPr>
          <w:rFonts w:ascii="Arial" w:hAnsi="Arial" w:cs="Arial"/>
          <w:color w:val="FF0000"/>
          <w:sz w:val="24"/>
          <w:szCs w:val="24"/>
          <w:u w:val="single"/>
        </w:rPr>
        <w:t>”</w:t>
      </w:r>
      <w:r w:rsidR="00FD5DFA">
        <w:rPr>
          <w:rFonts w:ascii="Arial" w:hAnsi="Arial" w:cs="Arial"/>
          <w:color w:val="FF0000"/>
          <w:sz w:val="24"/>
          <w:szCs w:val="24"/>
          <w:u w:val="single"/>
        </w:rPr>
        <w:t>.</w:t>
      </w:r>
    </w:p>
    <w:p w14:paraId="367FF0C5" w14:textId="77777777"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D940D8">
        <w:rPr>
          <w:rFonts w:ascii="Arial" w:hAnsi="Arial" w:cs="Arial"/>
          <w:color w:val="FF0000"/>
          <w:sz w:val="24"/>
          <w:szCs w:val="24"/>
          <w:u w:val="single"/>
        </w:rPr>
        <w:t>, or “(</w:t>
      </w:r>
      <w:r w:rsidR="00FD5DFA">
        <w:rPr>
          <w:rFonts w:ascii="Arial" w:hAnsi="Arial" w:cs="Arial"/>
          <w:color w:val="FF0000"/>
          <w:sz w:val="24"/>
          <w:szCs w:val="24"/>
          <w:u w:val="single"/>
        </w:rPr>
        <w:t>B)</w:t>
      </w:r>
      <w:r w:rsidR="00D940D8">
        <w:rPr>
          <w:rFonts w:ascii="Arial" w:hAnsi="Arial" w:cs="Arial"/>
          <w:color w:val="FF0000"/>
          <w:sz w:val="24"/>
          <w:szCs w:val="24"/>
          <w:u w:val="single"/>
        </w:rPr>
        <w:t>”</w:t>
      </w:r>
      <w:r w:rsidR="00FD5DFA">
        <w:rPr>
          <w:rFonts w:ascii="Arial" w:hAnsi="Arial" w:cs="Arial"/>
          <w:color w:val="FF0000"/>
          <w:sz w:val="24"/>
          <w:szCs w:val="24"/>
          <w:u w:val="single"/>
        </w:rPr>
        <w:t>.</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14:paraId="65448D28"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lastRenderedPageBreak/>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14:paraId="11E81E56"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14:paraId="10E084D0"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14:paraId="1053E28D"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19095E">
        <w:rPr>
          <w:rFonts w:ascii="Arial" w:hAnsi="Arial" w:cs="Arial"/>
          <w:color w:val="FF0000"/>
          <w:sz w:val="24"/>
          <w:szCs w:val="24"/>
          <w:u w:val="single"/>
        </w:rPr>
        <w:t>4</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14:paraId="7D26FD88" w14:textId="77777777"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and the Applicant will supervise those Timber Operations. Proof of such interest shall be provided to the Director prior to the issuance of such a License. Said License type is designated as “Restricted Timber Operator License”</w:t>
      </w:r>
      <w:r w:rsidR="00D940D8">
        <w:rPr>
          <w:rFonts w:ascii="Arial" w:hAnsi="Arial" w:cs="Arial"/>
          <w:color w:val="FF0000"/>
          <w:sz w:val="24"/>
          <w:szCs w:val="24"/>
          <w:u w:val="single"/>
        </w:rPr>
        <w:t>, or “</w:t>
      </w:r>
      <w:r w:rsidR="00C641CD">
        <w:rPr>
          <w:rFonts w:ascii="Arial" w:hAnsi="Arial" w:cs="Arial"/>
          <w:color w:val="FF0000"/>
          <w:sz w:val="24"/>
          <w:szCs w:val="24"/>
          <w:u w:val="single"/>
        </w:rPr>
        <w:t>(C)</w:t>
      </w:r>
      <w:r w:rsidR="00D940D8">
        <w:rPr>
          <w:rFonts w:ascii="Arial" w:hAnsi="Arial" w:cs="Arial"/>
          <w:color w:val="FF0000"/>
          <w:sz w:val="24"/>
          <w:szCs w:val="24"/>
          <w:u w:val="single"/>
        </w:rPr>
        <w:t>”</w:t>
      </w:r>
      <w:r w:rsidR="00C641CD">
        <w:rPr>
          <w:rFonts w:ascii="Arial" w:hAnsi="Arial" w:cs="Arial"/>
          <w:color w:val="FF0000"/>
          <w:sz w:val="24"/>
          <w:szCs w:val="24"/>
          <w:u w:val="single"/>
        </w:rPr>
        <w:t xml:space="preserve">. </w:t>
      </w:r>
    </w:p>
    <w:p w14:paraId="5BD94117" w14:textId="77777777"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 and 4577, Public Resources Code.</w:t>
      </w:r>
    </w:p>
    <w:p w14:paraId="38A304C5" w14:textId="076A107A" w:rsidR="00FF5080" w:rsidRDefault="00FF5080" w:rsidP="00EC28B9">
      <w:pPr>
        <w:spacing w:after="0" w:line="508" w:lineRule="atLeast"/>
        <w:rPr>
          <w:rFonts w:ascii="Arial" w:hAnsi="Arial" w:cs="Arial"/>
          <w:sz w:val="24"/>
          <w:szCs w:val="24"/>
        </w:rPr>
      </w:pPr>
      <w:r>
        <w:rPr>
          <w:rFonts w:ascii="Arial" w:hAnsi="Arial" w:cs="Arial"/>
          <w:sz w:val="24"/>
          <w:szCs w:val="24"/>
        </w:rPr>
        <w:t>*****</w:t>
      </w:r>
    </w:p>
    <w:p w14:paraId="75EF974E" w14:textId="77777777" w:rsidR="00472CE4" w:rsidRPr="00472CE4" w:rsidRDefault="00472CE4" w:rsidP="00472CE4">
      <w:pPr>
        <w:spacing w:after="0" w:line="508" w:lineRule="atLeast"/>
        <w:rPr>
          <w:rFonts w:ascii="Arial" w:hAnsi="Arial" w:cs="Arial"/>
          <w:b/>
          <w:sz w:val="24"/>
          <w:szCs w:val="24"/>
        </w:rPr>
      </w:pPr>
      <w:r w:rsidRPr="00472CE4">
        <w:rPr>
          <w:rFonts w:ascii="Arial" w:hAnsi="Arial" w:cs="Arial"/>
          <w:b/>
          <w:sz w:val="24"/>
          <w:szCs w:val="24"/>
        </w:rPr>
        <w:t>§ 1023. Issuance of License.</w:t>
      </w:r>
    </w:p>
    <w:p w14:paraId="195A589F" w14:textId="7620F281" w:rsidR="00472CE4" w:rsidRPr="00472CE4" w:rsidRDefault="00472CE4" w:rsidP="00472CE4">
      <w:pPr>
        <w:spacing w:after="0" w:line="508" w:lineRule="atLeast"/>
        <w:rPr>
          <w:rFonts w:ascii="Arial" w:hAnsi="Arial" w:cs="Arial"/>
          <w:sz w:val="24"/>
          <w:szCs w:val="24"/>
        </w:rPr>
      </w:pPr>
      <w:r w:rsidRPr="00472CE4">
        <w:rPr>
          <w:rFonts w:ascii="Arial" w:hAnsi="Arial" w:cs="Arial"/>
          <w:sz w:val="24"/>
          <w:szCs w:val="24"/>
        </w:rPr>
        <w:t xml:space="preserve">Upon </w:t>
      </w:r>
      <w:r w:rsidRPr="00961D38">
        <w:rPr>
          <w:rFonts w:ascii="Arial" w:hAnsi="Arial" w:cs="Arial"/>
          <w:strike/>
          <w:color w:val="FF0000"/>
          <w:sz w:val="24"/>
          <w:szCs w:val="24"/>
        </w:rPr>
        <w:t>receipt of a proper written application</w:t>
      </w:r>
      <w:r w:rsidR="00961D38">
        <w:rPr>
          <w:rFonts w:ascii="Arial" w:hAnsi="Arial" w:cs="Arial"/>
          <w:color w:val="FF0000"/>
          <w:sz w:val="24"/>
          <w:szCs w:val="24"/>
          <w:u w:val="single"/>
        </w:rPr>
        <w:t xml:space="preserve">the Director’s determination that an application is complete and accepted for filing, consistent with 14 CCR § 1024.3, </w:t>
      </w:r>
      <w:r w:rsidRPr="00472CE4">
        <w:rPr>
          <w:rFonts w:ascii="Arial" w:hAnsi="Arial" w:cs="Arial"/>
          <w:sz w:val="24"/>
          <w:szCs w:val="24"/>
        </w:rPr>
        <w:t xml:space="preserve">and </w:t>
      </w:r>
      <w:r w:rsidR="00961D38">
        <w:rPr>
          <w:rFonts w:ascii="Arial" w:hAnsi="Arial" w:cs="Arial"/>
          <w:color w:val="FF0000"/>
          <w:sz w:val="24"/>
          <w:szCs w:val="24"/>
          <w:u w:val="single"/>
        </w:rPr>
        <w:t>following receipt of</w:t>
      </w:r>
      <w:r w:rsidR="00961D38" w:rsidRPr="00961D38">
        <w:rPr>
          <w:rFonts w:ascii="Arial" w:hAnsi="Arial" w:cs="Arial"/>
          <w:color w:val="FF0000"/>
          <w:sz w:val="24"/>
          <w:szCs w:val="24"/>
          <w:u w:val="single"/>
        </w:rPr>
        <w:t xml:space="preserve"> </w:t>
      </w:r>
      <w:r w:rsidRPr="00472CE4">
        <w:rPr>
          <w:rFonts w:ascii="Arial" w:hAnsi="Arial" w:cs="Arial"/>
          <w:sz w:val="24"/>
          <w:szCs w:val="24"/>
        </w:rPr>
        <w:t xml:space="preserve">payment of the prescribed License fee, the Director </w:t>
      </w:r>
      <w:r w:rsidRPr="00961D38">
        <w:rPr>
          <w:rFonts w:ascii="Arial" w:hAnsi="Arial" w:cs="Arial"/>
          <w:strike/>
          <w:color w:val="FF0000"/>
          <w:sz w:val="24"/>
          <w:szCs w:val="24"/>
        </w:rPr>
        <w:t>may</w:t>
      </w:r>
      <w:r w:rsidR="00961D38">
        <w:rPr>
          <w:rFonts w:ascii="Arial" w:hAnsi="Arial" w:cs="Arial"/>
          <w:color w:val="FF0000"/>
          <w:sz w:val="24"/>
          <w:szCs w:val="24"/>
          <w:u w:val="single"/>
        </w:rPr>
        <w:t>shall</w:t>
      </w:r>
      <w:r w:rsidRPr="00961D38">
        <w:rPr>
          <w:rFonts w:ascii="Arial" w:hAnsi="Arial" w:cs="Arial"/>
          <w:color w:val="FF0000"/>
          <w:sz w:val="24"/>
          <w:szCs w:val="24"/>
        </w:rPr>
        <w:t xml:space="preserve"> </w:t>
      </w:r>
      <w:r w:rsidRPr="00472CE4">
        <w:rPr>
          <w:rFonts w:ascii="Arial" w:hAnsi="Arial" w:cs="Arial"/>
          <w:sz w:val="24"/>
          <w:szCs w:val="24"/>
        </w:rPr>
        <w:t xml:space="preserve">issue </w:t>
      </w:r>
      <w:r w:rsidR="00961D38" w:rsidRPr="00961D38">
        <w:rPr>
          <w:rFonts w:ascii="Arial" w:hAnsi="Arial" w:cs="Arial"/>
          <w:color w:val="FF0000"/>
          <w:sz w:val="24"/>
          <w:szCs w:val="24"/>
          <w:u w:val="single"/>
        </w:rPr>
        <w:t>the license requested</w:t>
      </w:r>
      <w:r w:rsidR="00961D38">
        <w:rPr>
          <w:rFonts w:ascii="Arial" w:hAnsi="Arial" w:cs="Arial"/>
          <w:color w:val="FF0000"/>
          <w:sz w:val="24"/>
          <w:szCs w:val="24"/>
          <w:u w:val="single"/>
        </w:rPr>
        <w:t xml:space="preserve"> on the application</w:t>
      </w:r>
      <w:r w:rsidR="00961D38" w:rsidRPr="00961D38">
        <w:rPr>
          <w:rFonts w:ascii="Arial" w:hAnsi="Arial" w:cs="Arial"/>
          <w:color w:val="FF0000"/>
          <w:sz w:val="24"/>
          <w:szCs w:val="24"/>
          <w:u w:val="single"/>
        </w:rPr>
        <w:t xml:space="preserve"> per 14 CCR § 1025(a)</w:t>
      </w:r>
      <w:r w:rsidRPr="00961D38">
        <w:rPr>
          <w:rFonts w:ascii="Arial" w:hAnsi="Arial" w:cs="Arial"/>
          <w:strike/>
          <w:color w:val="FF0000"/>
          <w:sz w:val="24"/>
          <w:szCs w:val="24"/>
        </w:rPr>
        <w:t>either a Timber Operator License or a Limited Timber Operator License</w:t>
      </w:r>
      <w:r w:rsidRPr="00472CE4">
        <w:rPr>
          <w:rFonts w:ascii="Arial" w:hAnsi="Arial" w:cs="Arial"/>
          <w:sz w:val="24"/>
          <w:szCs w:val="24"/>
        </w:rPr>
        <w:t>.</w:t>
      </w:r>
    </w:p>
    <w:p w14:paraId="0775232A" w14:textId="77777777" w:rsidR="00472CE4" w:rsidRPr="00472CE4" w:rsidRDefault="00472CE4" w:rsidP="00472CE4">
      <w:pPr>
        <w:spacing w:after="0" w:line="508" w:lineRule="atLeast"/>
        <w:rPr>
          <w:rFonts w:ascii="Arial" w:hAnsi="Arial" w:cs="Arial"/>
          <w:sz w:val="24"/>
          <w:szCs w:val="24"/>
        </w:rPr>
      </w:pPr>
    </w:p>
    <w:p w14:paraId="0B06BF10" w14:textId="33D2B67C" w:rsidR="00472CE4" w:rsidRPr="00FF5080" w:rsidRDefault="00472CE4" w:rsidP="00472CE4">
      <w:pPr>
        <w:spacing w:after="0" w:line="508" w:lineRule="atLeast"/>
        <w:rPr>
          <w:rFonts w:ascii="Arial" w:hAnsi="Arial" w:cs="Arial"/>
          <w:sz w:val="24"/>
          <w:szCs w:val="24"/>
        </w:rPr>
      </w:pPr>
      <w:r w:rsidRPr="00472CE4">
        <w:rPr>
          <w:rFonts w:ascii="Arial" w:hAnsi="Arial" w:cs="Arial"/>
          <w:sz w:val="24"/>
          <w:szCs w:val="24"/>
        </w:rPr>
        <w:t>Note: Authority cited: Sections 4551 and 4572, Public Resources Code. Reference: Sections 4571 and 4577, Public Resources Code.</w:t>
      </w:r>
    </w:p>
    <w:p w14:paraId="7090FD54" w14:textId="221690B7" w:rsidR="00472CE4" w:rsidRPr="00961D38" w:rsidRDefault="00961D38" w:rsidP="00C545A6">
      <w:pPr>
        <w:pStyle w:val="Heading1"/>
        <w:rPr>
          <w:b w:val="0"/>
        </w:rPr>
      </w:pPr>
      <w:r w:rsidRPr="00961D38">
        <w:rPr>
          <w:b w:val="0"/>
        </w:rPr>
        <w:t>*****</w:t>
      </w:r>
    </w:p>
    <w:p w14:paraId="60FAC53E" w14:textId="557B26EC" w:rsidR="00FF5080" w:rsidRPr="00FF5080" w:rsidRDefault="00FF5080" w:rsidP="00C545A6">
      <w:pPr>
        <w:pStyle w:val="Heading1"/>
      </w:pPr>
      <w:r w:rsidRPr="00FF5080">
        <w:t>§ 1024. Application Form and Content.</w:t>
      </w:r>
    </w:p>
    <w:p w14:paraId="0F6DC6E6"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Application for a License, or renewal of License, in a form prescribed by the Director, shall contain, and is not limited to, the following information:</w:t>
      </w:r>
    </w:p>
    <w:p w14:paraId="01742433"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14:paraId="5F9D664F"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14:paraId="346ABDD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14:paraId="7E02B26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14:paraId="48841C6C"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14:paraId="0F433BD2"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(f) Name, mailing address, and telephone number of the insurance agent providing the Insurance Certificate when such certificate is required by PRC § 4572.</w:t>
      </w:r>
    </w:p>
    <w:p w14:paraId="215A9FF0" w14:textId="56FDBC82"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(g) If a corporation, name of state of incorporation, address of home office, </w:t>
      </w:r>
      <w:r w:rsidRPr="000D36A2">
        <w:rPr>
          <w:rFonts w:ascii="Arial" w:hAnsi="Arial" w:cs="Arial"/>
          <w:strike/>
          <w:sz w:val="24"/>
          <w:szCs w:val="24"/>
        </w:rPr>
        <w:t>if</w:t>
      </w:r>
      <w:r w:rsidR="000D36A2" w:rsidRPr="000D36A2">
        <w:rPr>
          <w:rFonts w:ascii="Arial" w:hAnsi="Arial" w:cs="Arial"/>
          <w:sz w:val="24"/>
          <w:szCs w:val="24"/>
          <w:u w:val="single"/>
        </w:rPr>
        <w:t>is</w:t>
      </w:r>
      <w:r w:rsidRPr="00FF5080">
        <w:rPr>
          <w:rFonts w:ascii="Arial" w:hAnsi="Arial" w:cs="Arial"/>
          <w:sz w:val="24"/>
          <w:szCs w:val="24"/>
        </w:rPr>
        <w:t xml:space="preserve"> different from (c) above, address of California office, name and address of resident agent in California for service, and the name and address of the individual who will attend the Timber Operator education program for the corporation, if required.</w:t>
      </w:r>
    </w:p>
    <w:p w14:paraId="2CB679F4"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14:paraId="6F714F38"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14:paraId="68F8FF6B"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14:paraId="336B9140" w14:textId="77777777"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 xml:space="preserve">(k)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w:t>
      </w:r>
      <w:r w:rsidRPr="00FF5080">
        <w:rPr>
          <w:rFonts w:ascii="Arial" w:hAnsi="Arial" w:cs="Arial"/>
          <w:strike/>
          <w:color w:val="FF0000"/>
          <w:sz w:val="24"/>
          <w:szCs w:val="24"/>
        </w:rPr>
        <w:lastRenderedPageBreak/>
        <w:t>in writing. The questionnaire shall be prepared or approved by the Director and shall pertain to the content of the regulations of the Board (Title 14, CCR Division 1.5).</w:t>
      </w:r>
    </w:p>
    <w:p w14:paraId="40B014E0" w14:textId="77777777" w:rsidR="00FF5080" w:rsidRDefault="00FF5080" w:rsidP="00EC28B9">
      <w:pPr>
        <w:spacing w:after="0" w:line="508" w:lineRule="atLeast"/>
        <w:rPr>
          <w:rFonts w:ascii="Arial" w:hAnsi="Arial" w:cs="Arial"/>
          <w:sz w:val="24"/>
          <w:szCs w:val="24"/>
        </w:rPr>
      </w:pPr>
    </w:p>
    <w:p w14:paraId="3E1D99EF" w14:textId="77777777" w:rsidR="00FF5080" w:rsidRPr="005B739A"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sectPr w:rsidR="00FF5080" w:rsidRPr="005B739A" w:rsidSect="00FF5080">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0335" w14:textId="77777777" w:rsidR="000D08E9" w:rsidRDefault="000D08E9" w:rsidP="00875D17">
      <w:pPr>
        <w:spacing w:after="0" w:line="240" w:lineRule="auto"/>
      </w:pPr>
      <w:r>
        <w:separator/>
      </w:r>
    </w:p>
  </w:endnote>
  <w:endnote w:type="continuationSeparator" w:id="0">
    <w:p w14:paraId="016CF491" w14:textId="77777777" w:rsidR="000D08E9" w:rsidRDefault="000D08E9"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14:paraId="171DE13B" w14:textId="307EEA2E"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5305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3057">
              <w:rPr>
                <w:b/>
                <w:bCs/>
                <w:noProof/>
              </w:rPr>
              <w:t>4</w:t>
            </w:r>
            <w:r>
              <w:rPr>
                <w:b/>
                <w:bCs/>
                <w:sz w:val="24"/>
                <w:szCs w:val="24"/>
              </w:rPr>
              <w:fldChar w:fldCharType="end"/>
            </w:r>
            <w:r w:rsidR="007E55E7">
              <w:rPr>
                <w:b/>
                <w:bCs/>
                <w:sz w:val="24"/>
                <w:szCs w:val="24"/>
              </w:rPr>
              <w:tab/>
            </w:r>
            <w:r w:rsidR="007E55E7">
              <w:rPr>
                <w:b/>
                <w:bCs/>
                <w:sz w:val="24"/>
                <w:szCs w:val="24"/>
              </w:rPr>
              <w:tab/>
              <w:t>FULL 14(a)</w:t>
            </w:r>
          </w:p>
        </w:sdtContent>
      </w:sdt>
    </w:sdtContent>
  </w:sdt>
  <w:p w14:paraId="70564283" w14:textId="77777777" w:rsidR="00426446" w:rsidRDefault="0042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490E" w14:textId="77777777" w:rsidR="000D08E9" w:rsidRDefault="000D08E9" w:rsidP="00875D17">
      <w:pPr>
        <w:spacing w:after="0" w:line="240" w:lineRule="auto"/>
      </w:pPr>
      <w:r>
        <w:separator/>
      </w:r>
    </w:p>
  </w:footnote>
  <w:footnote w:type="continuationSeparator" w:id="0">
    <w:p w14:paraId="30C8F31D" w14:textId="77777777" w:rsidR="000D08E9" w:rsidRDefault="000D08E9"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E6D3" w14:textId="77777777"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33A4DC4B" wp14:editId="56A40448">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6D453298" wp14:editId="12B2D567">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71B17E59" wp14:editId="4149036F">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14:paraId="4C732669" w14:textId="77777777" w:rsidR="00875D17" w:rsidRPr="00875D17" w:rsidRDefault="00875D17" w:rsidP="0087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rX5BYhQTtHBbdbwShVKDFzDZlDijEfHvC1yzWObQeBUfFAbBOaVcZkfoQ0mkqRV8p/t9+ovwxV1H971cUDwmg==" w:salt="a7C6Jl5FHW4FAC+8WdoYv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17"/>
    <w:rsid w:val="00077007"/>
    <w:rsid w:val="000D08E9"/>
    <w:rsid w:val="000D36A2"/>
    <w:rsid w:val="0019095E"/>
    <w:rsid w:val="001E483D"/>
    <w:rsid w:val="00204129"/>
    <w:rsid w:val="002C45A9"/>
    <w:rsid w:val="003501FE"/>
    <w:rsid w:val="00426446"/>
    <w:rsid w:val="00472CE4"/>
    <w:rsid w:val="00481B83"/>
    <w:rsid w:val="004A0BFB"/>
    <w:rsid w:val="004E7511"/>
    <w:rsid w:val="0052524C"/>
    <w:rsid w:val="005B739A"/>
    <w:rsid w:val="005C7557"/>
    <w:rsid w:val="005D111E"/>
    <w:rsid w:val="006154F3"/>
    <w:rsid w:val="006450BA"/>
    <w:rsid w:val="00672617"/>
    <w:rsid w:val="007E55E7"/>
    <w:rsid w:val="00847F05"/>
    <w:rsid w:val="00874975"/>
    <w:rsid w:val="00875D17"/>
    <w:rsid w:val="00953225"/>
    <w:rsid w:val="00961D38"/>
    <w:rsid w:val="00A06274"/>
    <w:rsid w:val="00A20D10"/>
    <w:rsid w:val="00A53057"/>
    <w:rsid w:val="00A65B65"/>
    <w:rsid w:val="00AD3C60"/>
    <w:rsid w:val="00B05BE3"/>
    <w:rsid w:val="00BA60CA"/>
    <w:rsid w:val="00C545A6"/>
    <w:rsid w:val="00C641CD"/>
    <w:rsid w:val="00D940D8"/>
    <w:rsid w:val="00DE1290"/>
    <w:rsid w:val="00EC28B9"/>
    <w:rsid w:val="00ED4C0C"/>
    <w:rsid w:val="00F13E7D"/>
    <w:rsid w:val="00FA5C71"/>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F8812"/>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 w:type="character" w:styleId="CommentReference">
    <w:name w:val="annotation reference"/>
    <w:basedOn w:val="DefaultParagraphFont"/>
    <w:uiPriority w:val="99"/>
    <w:semiHidden/>
    <w:unhideWhenUsed/>
    <w:rsid w:val="0019095E"/>
    <w:rPr>
      <w:sz w:val="16"/>
      <w:szCs w:val="16"/>
    </w:rPr>
  </w:style>
  <w:style w:type="paragraph" w:styleId="CommentText">
    <w:name w:val="annotation text"/>
    <w:basedOn w:val="Normal"/>
    <w:link w:val="CommentTextChar"/>
    <w:uiPriority w:val="99"/>
    <w:semiHidden/>
    <w:unhideWhenUsed/>
    <w:rsid w:val="0019095E"/>
    <w:pPr>
      <w:spacing w:line="240" w:lineRule="auto"/>
    </w:pPr>
    <w:rPr>
      <w:sz w:val="20"/>
      <w:szCs w:val="20"/>
    </w:rPr>
  </w:style>
  <w:style w:type="character" w:customStyle="1" w:styleId="CommentTextChar">
    <w:name w:val="Comment Text Char"/>
    <w:basedOn w:val="DefaultParagraphFont"/>
    <w:link w:val="CommentText"/>
    <w:uiPriority w:val="99"/>
    <w:semiHidden/>
    <w:rsid w:val="0019095E"/>
    <w:rPr>
      <w:sz w:val="20"/>
      <w:szCs w:val="20"/>
    </w:rPr>
  </w:style>
  <w:style w:type="paragraph" w:styleId="CommentSubject">
    <w:name w:val="annotation subject"/>
    <w:basedOn w:val="CommentText"/>
    <w:next w:val="CommentText"/>
    <w:link w:val="CommentSubjectChar"/>
    <w:uiPriority w:val="99"/>
    <w:semiHidden/>
    <w:unhideWhenUsed/>
    <w:rsid w:val="0019095E"/>
    <w:rPr>
      <w:b/>
      <w:bCs/>
    </w:rPr>
  </w:style>
  <w:style w:type="character" w:customStyle="1" w:styleId="CommentSubjectChar">
    <w:name w:val="Comment Subject Char"/>
    <w:basedOn w:val="CommentTextChar"/>
    <w:link w:val="CommentSubject"/>
    <w:uiPriority w:val="99"/>
    <w:semiHidden/>
    <w:rsid w:val="00190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745</Words>
  <Characters>4247</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2020-05-29T15:44:00Z</cp:lastPrinted>
  <dcterms:created xsi:type="dcterms:W3CDTF">2020-02-27T22:08:00Z</dcterms:created>
  <dcterms:modified xsi:type="dcterms:W3CDTF">2020-05-29T16:59:00Z</dcterms:modified>
</cp:coreProperties>
</file>