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bookmarkStart w:id="1" w:name="_GoBack"/>
      <w:bookmarkEnd w:id="1"/>
      <w:r>
        <w:t>General Plan Safety Element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6393F2C6" w:rsidR="009D6C31" w:rsidRPr="009D6C31" w:rsidRDefault="00F1567E"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Lassen County – Final Review</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2A5369">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2A5369">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2A5369">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2A5369">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2A5369">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4015C418" w:rsidR="009D6C31" w:rsidRDefault="002A5369">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B01724">
              <w:rPr>
                <w:noProof/>
                <w:webHidden/>
              </w:rPr>
              <w:t>6</w:t>
            </w:r>
          </w:hyperlink>
        </w:p>
        <w:p w14:paraId="552F6F02" w14:textId="53BA7544" w:rsidR="009D6C31" w:rsidRDefault="002A5369">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B01724">
              <w:rPr>
                <w:noProof/>
                <w:webHidden/>
              </w:rPr>
              <w:t>6</w:t>
            </w:r>
          </w:hyperlink>
        </w:p>
        <w:p w14:paraId="17C2893A" w14:textId="429A44E0" w:rsidR="009D6C31" w:rsidRDefault="002A5369">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1D174652" w14:textId="155589E4" w:rsidR="009D6C31" w:rsidRDefault="002A5369">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20F17FDF" w14:textId="2DA9E3CA" w:rsidR="009D6C31" w:rsidRDefault="002A5369">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6BC35DCF" w14:textId="1CF86A7F" w:rsidR="009D6C31" w:rsidRDefault="002A5369">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40F2B932" w14:textId="685D88E0" w:rsidR="009D6C31" w:rsidRDefault="002A5369">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AB79BB1" w14:textId="71A7E890" w:rsidR="009D6C31" w:rsidRDefault="002A5369">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0DC97B0" w14:textId="17400C46" w:rsidR="009D6C31" w:rsidRDefault="002A5369">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19B4123B" w14:textId="27DC9371" w:rsidR="009D6C31" w:rsidRDefault="002A5369">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2C2C2C5D" w14:textId="6A9B7F6B" w:rsidR="009D6C31" w:rsidRDefault="002A5369">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35AEB7D7" w14:textId="03123783" w:rsidR="009D6C31" w:rsidRDefault="002A5369">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0ACF7499" w14:textId="4E1097B3" w:rsidR="009D6C31" w:rsidRDefault="002A5369">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2"/>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3"/>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575DCF8D"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F1567E">
              <w:rPr>
                <w:rFonts w:ascii="Arial Narrow" w:hAnsi="Arial Narrow" w:cs="Arial"/>
              </w:rPr>
              <w:t>Lassen County</w:t>
            </w:r>
          </w:p>
        </w:tc>
        <w:tc>
          <w:tcPr>
            <w:tcW w:w="3381" w:type="dxa"/>
            <w:shd w:val="clear" w:color="auto" w:fill="auto"/>
          </w:tcPr>
          <w:p w14:paraId="2C37E844" w14:textId="5FF69AC3"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F1567E">
              <w:rPr>
                <w:rFonts w:ascii="Arial Narrow" w:hAnsi="Arial Narrow" w:cs="Arial"/>
              </w:rPr>
              <w:t>Final Review</w:t>
            </w:r>
          </w:p>
        </w:tc>
        <w:tc>
          <w:tcPr>
            <w:tcW w:w="3381" w:type="dxa"/>
            <w:shd w:val="clear" w:color="auto" w:fill="auto"/>
          </w:tcPr>
          <w:p w14:paraId="77D655D6" w14:textId="0A8D83B7"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F1567E">
              <w:rPr>
                <w:rFonts w:ascii="Arial Narrow" w:hAnsi="Arial Narrow" w:cs="Arial"/>
              </w:rPr>
              <w:t xml:space="preserve"> LMU</w:t>
            </w:r>
          </w:p>
        </w:tc>
        <w:tc>
          <w:tcPr>
            <w:tcW w:w="3556" w:type="dxa"/>
          </w:tcPr>
          <w:p w14:paraId="74A7EA7A" w14:textId="5BD30E77"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420D91">
              <w:rPr>
                <w:rFonts w:ascii="Arial Narrow" w:hAnsi="Arial Narrow" w:cs="Arial"/>
              </w:rPr>
              <w:t>3-20</w:t>
            </w:r>
            <w:r w:rsidR="00F1567E">
              <w:rPr>
                <w:rFonts w:ascii="Arial Narrow" w:hAnsi="Arial Narrow" w:cs="Arial"/>
              </w:rPr>
              <w:t>-2020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57055EE4"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F1567E">
              <w:rPr>
                <w:rFonts w:ascii="Arial Narrow" w:hAnsi="Arial Narrow" w:cs="Arial"/>
              </w:rPr>
              <w:t>Lassen</w:t>
            </w:r>
          </w:p>
        </w:tc>
        <w:tc>
          <w:tcPr>
            <w:tcW w:w="3381" w:type="dxa"/>
            <w:tcBorders>
              <w:bottom w:val="single" w:sz="4" w:space="0" w:color="808080"/>
            </w:tcBorders>
            <w:shd w:val="clear" w:color="auto" w:fill="auto"/>
          </w:tcPr>
          <w:p w14:paraId="50985711" w14:textId="2FB861B4"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F1567E">
              <w:rPr>
                <w:rFonts w:ascii="Arial Narrow" w:hAnsi="Arial Narrow" w:cs="Arial"/>
              </w:rPr>
              <w:t>Shane Vargas</w:t>
            </w:r>
          </w:p>
        </w:tc>
        <w:tc>
          <w:tcPr>
            <w:tcW w:w="3381" w:type="dxa"/>
            <w:tcBorders>
              <w:bottom w:val="single" w:sz="4" w:space="0" w:color="808080"/>
            </w:tcBorders>
            <w:shd w:val="clear" w:color="auto" w:fill="auto"/>
          </w:tcPr>
          <w:p w14:paraId="7F50FDDD" w14:textId="01DC5BA4" w:rsidR="0043426F" w:rsidRPr="00F3602C" w:rsidRDefault="0043426F" w:rsidP="0063621B">
            <w:pPr>
              <w:spacing w:after="0"/>
              <w:rPr>
                <w:rFonts w:ascii="Arial Narrow" w:hAnsi="Arial Narrow" w:cs="Arial"/>
              </w:rPr>
            </w:pPr>
            <w:r w:rsidRPr="00F3602C">
              <w:rPr>
                <w:rFonts w:ascii="Arial Narrow" w:hAnsi="Arial Narrow" w:cs="Arial"/>
              </w:rPr>
              <w:t>UNIT CONTACT:</w:t>
            </w:r>
            <w:r w:rsidR="00F1567E">
              <w:rPr>
                <w:rFonts w:ascii="Arial Narrow" w:hAnsi="Arial Narrow" w:cs="Arial"/>
              </w:rPr>
              <w:t xml:space="preserve"> Silas Rojas</w:t>
            </w:r>
          </w:p>
        </w:tc>
        <w:tc>
          <w:tcPr>
            <w:tcW w:w="3556" w:type="dxa"/>
            <w:tcBorders>
              <w:bottom w:val="single" w:sz="4" w:space="0" w:color="808080"/>
            </w:tcBorders>
          </w:tcPr>
          <w:p w14:paraId="61280D8E" w14:textId="083F4A9E"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420D91">
              <w:rPr>
                <w:rFonts w:ascii="Arial Narrow" w:hAnsi="Arial Narrow" w:cs="Arial"/>
              </w:rPr>
              <w:t>3-2</w:t>
            </w:r>
            <w:r w:rsidR="00F1567E">
              <w:rPr>
                <w:rFonts w:ascii="Arial Narrow" w:hAnsi="Arial Narrow" w:cs="Arial"/>
              </w:rPr>
              <w:t>4-2020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1DA231E2" w:rsidR="0043426F" w:rsidRDefault="00F1567E" w:rsidP="0043426F">
            <w:pPr>
              <w:spacing w:after="0"/>
              <w:rPr>
                <w:rFonts w:eastAsia="PMingLiU" w:cs="Arial"/>
                <w:sz w:val="22"/>
              </w:rPr>
            </w:pPr>
            <w:r>
              <w:rPr>
                <w:rFonts w:eastAsia="PMingLiU" w:cs="Arial"/>
                <w:sz w:val="22"/>
              </w:rPr>
              <w:t>No</w:t>
            </w:r>
          </w:p>
        </w:tc>
        <w:tc>
          <w:tcPr>
            <w:tcW w:w="4797" w:type="dxa"/>
          </w:tcPr>
          <w:p w14:paraId="7E3191A0" w14:textId="77777777" w:rsidR="0043426F" w:rsidRDefault="00F1567E" w:rsidP="0043426F">
            <w:pPr>
              <w:spacing w:after="0"/>
              <w:rPr>
                <w:rFonts w:ascii="Arial Narrow" w:eastAsia="Calibri" w:hAnsi="Arial Narrow"/>
                <w:sz w:val="22"/>
                <w:szCs w:val="22"/>
              </w:rPr>
            </w:pPr>
            <w:r>
              <w:rPr>
                <w:rFonts w:ascii="Arial Narrow" w:eastAsia="Calibri" w:hAnsi="Arial Narrow"/>
                <w:sz w:val="22"/>
                <w:szCs w:val="22"/>
              </w:rPr>
              <w:t>Maps have been adopted but need to include or reference CAL FIRE Fire Hazard Severity Zone maps or locally adopted wildfire hazard zones.</w:t>
            </w:r>
          </w:p>
          <w:p w14:paraId="6B4B5653" w14:textId="77777777" w:rsidR="00A7175A" w:rsidRDefault="00A7175A" w:rsidP="0043426F">
            <w:pPr>
              <w:spacing w:after="0"/>
              <w:rPr>
                <w:rFonts w:ascii="Arial Narrow" w:eastAsia="Calibri" w:hAnsi="Arial Narrow"/>
                <w:sz w:val="22"/>
                <w:szCs w:val="22"/>
              </w:rPr>
            </w:pPr>
          </w:p>
          <w:p w14:paraId="51F4B021" w14:textId="2045CC6A" w:rsidR="00A7175A" w:rsidRDefault="00B01724" w:rsidP="0043426F">
            <w:pPr>
              <w:spacing w:after="0"/>
              <w:rPr>
                <w:rFonts w:eastAsia="PMingLiU" w:cs="Arial"/>
                <w:sz w:val="22"/>
              </w:rPr>
            </w:pPr>
            <w:r>
              <w:rPr>
                <w:rFonts w:ascii="Arial Narrow" w:eastAsia="Calibri" w:hAnsi="Arial Narrow"/>
                <w:sz w:val="22"/>
                <w:szCs w:val="22"/>
              </w:rPr>
              <w:t>If located within the LHMP, you can adopt and reference it there.</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0409A294" w:rsidR="0043426F" w:rsidRDefault="00F1567E" w:rsidP="0043426F">
            <w:pPr>
              <w:spacing w:after="0"/>
              <w:rPr>
                <w:rFonts w:eastAsia="PMingLiU" w:cs="Arial"/>
                <w:sz w:val="22"/>
              </w:rPr>
            </w:pPr>
            <w:r>
              <w:rPr>
                <w:rFonts w:eastAsia="PMingLiU" w:cs="Arial"/>
                <w:sz w:val="22"/>
              </w:rPr>
              <w:t>No</w:t>
            </w:r>
          </w:p>
        </w:tc>
        <w:tc>
          <w:tcPr>
            <w:tcW w:w="4797" w:type="dxa"/>
          </w:tcPr>
          <w:p w14:paraId="2F5EF0A4" w14:textId="77777777" w:rsidR="0043426F" w:rsidRDefault="00F1567E" w:rsidP="0043426F">
            <w:pPr>
              <w:spacing w:after="0"/>
              <w:rPr>
                <w:rFonts w:ascii="Arial Narrow" w:eastAsia="Calibri" w:hAnsi="Arial Narrow"/>
                <w:sz w:val="22"/>
                <w:szCs w:val="22"/>
              </w:rPr>
            </w:pPr>
            <w:r>
              <w:rPr>
                <w:rFonts w:ascii="Arial Narrow" w:eastAsia="Calibri" w:hAnsi="Arial Narrow"/>
                <w:sz w:val="22"/>
                <w:szCs w:val="22"/>
              </w:rPr>
              <w:t>Include or reference the location of historical information on wildfires in the planning area.</w:t>
            </w:r>
          </w:p>
          <w:p w14:paraId="5639524D" w14:textId="77777777" w:rsidR="00B01724" w:rsidRDefault="00B01724" w:rsidP="0043426F">
            <w:pPr>
              <w:spacing w:after="0"/>
              <w:rPr>
                <w:rFonts w:ascii="Arial Narrow" w:eastAsia="Calibri" w:hAnsi="Arial Narrow"/>
                <w:sz w:val="22"/>
                <w:szCs w:val="22"/>
              </w:rPr>
            </w:pPr>
          </w:p>
          <w:p w14:paraId="63C7CBA0" w14:textId="21B7787A" w:rsidR="00B01724" w:rsidRDefault="00B01724" w:rsidP="0043426F">
            <w:pPr>
              <w:spacing w:after="0"/>
              <w:rPr>
                <w:rFonts w:eastAsia="PMingLiU" w:cs="Arial"/>
                <w:sz w:val="22"/>
              </w:rPr>
            </w:pPr>
            <w:r>
              <w:rPr>
                <w:rFonts w:ascii="Arial Narrow" w:eastAsia="Calibri" w:hAnsi="Arial Narrow"/>
                <w:sz w:val="22"/>
                <w:szCs w:val="22"/>
              </w:rPr>
              <w:t>If located within the LHMP, you can adopt and reference it there.</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5D4337DE" w:rsidR="0043426F" w:rsidRDefault="00F1567E" w:rsidP="0043426F">
            <w:pPr>
              <w:spacing w:after="0"/>
              <w:rPr>
                <w:rFonts w:eastAsia="PMingLiU" w:cs="Arial"/>
                <w:sz w:val="22"/>
              </w:rPr>
            </w:pPr>
            <w:r>
              <w:rPr>
                <w:rFonts w:eastAsia="PMingLiU" w:cs="Arial"/>
                <w:sz w:val="22"/>
              </w:rPr>
              <w:t>No</w:t>
            </w:r>
          </w:p>
        </w:tc>
        <w:tc>
          <w:tcPr>
            <w:tcW w:w="4797" w:type="dxa"/>
          </w:tcPr>
          <w:p w14:paraId="50FDABE1" w14:textId="37682D58" w:rsidR="0043426F" w:rsidRDefault="00F1567E" w:rsidP="0043426F">
            <w:pPr>
              <w:spacing w:after="0"/>
              <w:rPr>
                <w:rFonts w:eastAsia="PMingLiU" w:cs="Arial"/>
                <w:sz w:val="22"/>
              </w:rPr>
            </w:pPr>
            <w:r>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75C8566F" w:rsidR="0043426F" w:rsidRDefault="00F1567E" w:rsidP="0043426F">
            <w:pPr>
              <w:spacing w:after="0"/>
              <w:rPr>
                <w:rFonts w:eastAsia="PMingLiU" w:cs="Arial"/>
                <w:sz w:val="22"/>
              </w:rPr>
            </w:pPr>
            <w:r>
              <w:rPr>
                <w:rFonts w:eastAsia="PMingLiU" w:cs="Arial"/>
                <w:sz w:val="22"/>
              </w:rPr>
              <w:t>No</w:t>
            </w:r>
          </w:p>
        </w:tc>
        <w:tc>
          <w:tcPr>
            <w:tcW w:w="4797" w:type="dxa"/>
          </w:tcPr>
          <w:p w14:paraId="3FEE28D8" w14:textId="77777777" w:rsidR="0043426F" w:rsidRDefault="00F1567E" w:rsidP="0043426F">
            <w:pPr>
              <w:spacing w:after="0"/>
              <w:rPr>
                <w:rFonts w:ascii="Arial Narrow" w:eastAsia="Calibri" w:hAnsi="Arial Narrow"/>
                <w:sz w:val="22"/>
                <w:szCs w:val="22"/>
              </w:rPr>
            </w:pPr>
            <w:r>
              <w:rPr>
                <w:rFonts w:ascii="Arial Narrow" w:eastAsia="Calibri" w:hAnsi="Arial Narrow"/>
                <w:sz w:val="22"/>
                <w:szCs w:val="22"/>
              </w:rPr>
              <w:t>Include a map or description of the agencies having responsibility for fire protection.</w:t>
            </w:r>
          </w:p>
          <w:p w14:paraId="7DE52557" w14:textId="77777777" w:rsidR="00B01724" w:rsidRDefault="00B01724" w:rsidP="0043426F">
            <w:pPr>
              <w:spacing w:after="0"/>
              <w:rPr>
                <w:rFonts w:ascii="Arial Narrow" w:eastAsia="Calibri" w:hAnsi="Arial Narrow"/>
                <w:sz w:val="22"/>
                <w:szCs w:val="22"/>
              </w:rPr>
            </w:pPr>
          </w:p>
          <w:p w14:paraId="044232F5" w14:textId="2CBF4772" w:rsidR="00B01724" w:rsidRDefault="00B01724" w:rsidP="0043426F">
            <w:pPr>
              <w:spacing w:after="0"/>
              <w:rPr>
                <w:rFonts w:eastAsia="PMingLiU" w:cs="Arial"/>
                <w:sz w:val="22"/>
              </w:rPr>
            </w:pPr>
            <w:r>
              <w:rPr>
                <w:rFonts w:ascii="Arial Narrow" w:eastAsia="Calibri" w:hAnsi="Arial Narrow"/>
                <w:sz w:val="22"/>
                <w:szCs w:val="22"/>
              </w:rPr>
              <w:t>If located within the LHMP, you can adopt and reference it there.</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414E9E4D" w:rsidR="0043426F" w:rsidRDefault="00F1567E" w:rsidP="0043426F">
            <w:pPr>
              <w:spacing w:after="0"/>
              <w:rPr>
                <w:rFonts w:eastAsia="PMingLiU" w:cs="Arial"/>
                <w:sz w:val="22"/>
              </w:rPr>
            </w:pPr>
            <w:r>
              <w:rPr>
                <w:rFonts w:eastAsia="PMingLiU" w:cs="Arial"/>
                <w:sz w:val="22"/>
              </w:rPr>
              <w:t>No</w:t>
            </w:r>
          </w:p>
        </w:tc>
        <w:tc>
          <w:tcPr>
            <w:tcW w:w="4797" w:type="dxa"/>
          </w:tcPr>
          <w:p w14:paraId="051F75CC" w14:textId="69766617" w:rsidR="001E3770" w:rsidRPr="001E3770" w:rsidRDefault="001E3770" w:rsidP="001E3770">
            <w:pPr>
              <w:spacing w:after="0"/>
              <w:jc w:val="both"/>
              <w:rPr>
                <w:rFonts w:ascii="Arial Narrow" w:eastAsia="Calibri" w:hAnsi="Arial Narrow"/>
                <w:sz w:val="22"/>
                <w:szCs w:val="22"/>
              </w:rPr>
            </w:pPr>
            <w:r>
              <w:rPr>
                <w:rFonts w:ascii="Arial Narrow" w:eastAsia="Calibri" w:hAnsi="Arial Narrow"/>
                <w:sz w:val="22"/>
                <w:szCs w:val="22"/>
              </w:rPr>
              <w:t>Partial: The Local Hazard Mitigation Plan has been added by reference in Section One on page 3.</w:t>
            </w:r>
          </w:p>
          <w:p w14:paraId="0F9CED08" w14:textId="3936C48F" w:rsidR="00F1567E" w:rsidRDefault="00F1567E" w:rsidP="00F1567E">
            <w:pPr>
              <w:pStyle w:val="ListParagraph"/>
              <w:numPr>
                <w:ilvl w:val="0"/>
                <w:numId w:val="49"/>
              </w:numPr>
              <w:spacing w:after="0"/>
              <w:jc w:val="both"/>
              <w:rPr>
                <w:rFonts w:ascii="Arial Narrow" w:eastAsia="Calibri" w:hAnsi="Arial Narrow"/>
                <w:sz w:val="22"/>
                <w:szCs w:val="22"/>
              </w:rPr>
            </w:pPr>
            <w:r>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123E121E" w14:textId="77777777" w:rsidR="00F1567E" w:rsidRDefault="00F1567E" w:rsidP="00F1567E">
            <w:pPr>
              <w:pStyle w:val="ListParagraph"/>
              <w:numPr>
                <w:ilvl w:val="0"/>
                <w:numId w:val="49"/>
              </w:numPr>
              <w:spacing w:after="0"/>
              <w:jc w:val="both"/>
              <w:rPr>
                <w:rFonts w:ascii="Arial Narrow" w:eastAsia="Calibri" w:hAnsi="Arial Narrow"/>
                <w:sz w:val="22"/>
                <w:szCs w:val="22"/>
              </w:rPr>
            </w:pPr>
            <w:r>
              <w:rPr>
                <w:rFonts w:ascii="Arial Narrow" w:eastAsia="Calibri" w:hAnsi="Arial Narrow"/>
                <w:sz w:val="22"/>
                <w:szCs w:val="22"/>
              </w:rPr>
              <w:lastRenderedPageBreak/>
              <w:t xml:space="preserve">Align the goals, policies, objectives, and implementation measures for fire hazard mitigation in the safety element with those in existing fire plans, or make plans to update fire plans to match the safety element.  </w:t>
            </w:r>
          </w:p>
          <w:p w14:paraId="7249C3F0" w14:textId="77777777" w:rsidR="00F1567E" w:rsidRDefault="00F1567E" w:rsidP="00F1567E">
            <w:pPr>
              <w:spacing w:after="0"/>
              <w:jc w:val="both"/>
              <w:rPr>
                <w:rFonts w:ascii="Arial Narrow" w:eastAsia="Calibri" w:hAnsi="Arial Narrow"/>
                <w:sz w:val="22"/>
                <w:szCs w:val="22"/>
              </w:rPr>
            </w:pPr>
            <w:r>
              <w:rPr>
                <w:rFonts w:ascii="Arial Narrow" w:eastAsia="Calibri" w:hAnsi="Arial Narrow"/>
                <w:sz w:val="22"/>
                <w:szCs w:val="22"/>
              </w:rPr>
              <w:t>Or</w:t>
            </w:r>
          </w:p>
          <w:p w14:paraId="4FD831DB" w14:textId="12EED37D" w:rsidR="0043426F" w:rsidRDefault="00F1567E" w:rsidP="00F1567E">
            <w:pPr>
              <w:spacing w:after="0"/>
              <w:rPr>
                <w:rFonts w:eastAsia="PMingLiU" w:cs="Arial"/>
                <w:sz w:val="22"/>
              </w:rPr>
            </w:pPr>
            <w:r>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27A7874E" w14:textId="77777777" w:rsidR="00F1567E" w:rsidRDefault="00F1567E" w:rsidP="00F1567E">
      <w:pPr>
        <w:spacing w:after="0"/>
        <w:rPr>
          <w:rFonts w:eastAsia="PMingLiU" w:cs="Arial"/>
          <w:sz w:val="22"/>
        </w:rPr>
      </w:pPr>
      <w:bookmarkStart w:id="7" w:name="_Toc23168270"/>
    </w:p>
    <w:p w14:paraId="16341B3B" w14:textId="2149CF6F" w:rsidR="0043426F" w:rsidRPr="00F1567E" w:rsidRDefault="0043426F" w:rsidP="00F1567E">
      <w:pPr>
        <w:spacing w:after="0"/>
        <w:rPr>
          <w:rFonts w:eastAsia="PMingLiU" w:cs="Arial"/>
          <w:sz w:val="22"/>
        </w:rPr>
      </w:pPr>
      <w:r>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40B364B6" w:rsidR="0043426F" w:rsidRDefault="00F1567E" w:rsidP="0043426F">
            <w:pPr>
              <w:spacing w:after="0"/>
              <w:rPr>
                <w:rFonts w:ascii="Arial Narrow" w:eastAsia="Calibri" w:hAnsi="Arial Narrow"/>
              </w:rPr>
            </w:pPr>
            <w:r>
              <w:rPr>
                <w:rFonts w:ascii="Arial Narrow" w:eastAsia="Calibri" w:hAnsi="Arial Narrow"/>
              </w:rPr>
              <w:t>Yes</w:t>
            </w:r>
          </w:p>
        </w:tc>
        <w:tc>
          <w:tcPr>
            <w:tcW w:w="4797" w:type="dxa"/>
          </w:tcPr>
          <w:p w14:paraId="03F15DC6" w14:textId="3EF2E60A" w:rsidR="0043426F" w:rsidRPr="003B4611" w:rsidRDefault="003B4611" w:rsidP="0043426F">
            <w:pPr>
              <w:spacing w:after="0"/>
              <w:rPr>
                <w:rFonts w:ascii="Arial Narrow" w:eastAsia="Calibri" w:hAnsi="Arial Narrow"/>
              </w:rPr>
            </w:pPr>
            <w:r w:rsidRPr="003B4611">
              <w:rPr>
                <w:rFonts w:ascii="Arial Narrow" w:hAnsi="Arial Narrow"/>
                <w:color w:val="000000"/>
                <w:sz w:val="22"/>
                <w:szCs w:val="22"/>
                <w:shd w:val="clear" w:color="auto" w:fill="FFFFFF"/>
              </w:rPr>
              <w:t>ZC-9.16.100 It is the policy of Lassen County that all new development within the county meet the minimum standards for adequate fire protection for that type of development. Any law, regulation or ordinance involving fire safety which is more restrictive will take precedence over these standards.</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76021015"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5B502C81" w14:textId="3C618A03" w:rsidR="0043426F" w:rsidRPr="001440B9" w:rsidRDefault="001440B9" w:rsidP="0043426F">
            <w:pPr>
              <w:spacing w:after="0"/>
              <w:rPr>
                <w:rFonts w:ascii="Arial Narrow" w:eastAsia="Calibri" w:hAnsi="Arial Narrow"/>
                <w:sz w:val="22"/>
                <w:szCs w:val="22"/>
              </w:rPr>
            </w:pPr>
            <w:r w:rsidRPr="001440B9">
              <w:rPr>
                <w:rFonts w:ascii="Arial Narrow" w:eastAsia="Calibri" w:hAnsi="Arial Narrow"/>
                <w:sz w:val="22"/>
                <w:szCs w:val="22"/>
              </w:rPr>
              <w:t>Establish Goals and Policies to do so.</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B01724">
              <w:rPr>
                <w:rFonts w:ascii="Arial Narrow" w:hAnsi="Arial Narrow" w:cs="Calibri"/>
                <w:color w:val="000000"/>
                <w:sz w:val="22"/>
                <w:szCs w:val="22"/>
              </w:rPr>
              <w:t>Has fire safe design been incorporated into future development requirements?</w:t>
            </w:r>
          </w:p>
        </w:tc>
        <w:tc>
          <w:tcPr>
            <w:tcW w:w="4797" w:type="dxa"/>
          </w:tcPr>
          <w:p w14:paraId="5D5CB373" w14:textId="099F8A15" w:rsidR="0043426F" w:rsidRDefault="003B4611" w:rsidP="0043426F">
            <w:pPr>
              <w:spacing w:after="0"/>
              <w:rPr>
                <w:rFonts w:ascii="Arial Narrow" w:eastAsia="Calibri" w:hAnsi="Arial Narrow"/>
              </w:rPr>
            </w:pPr>
            <w:r>
              <w:rPr>
                <w:rFonts w:ascii="Arial Narrow" w:eastAsia="Calibri" w:hAnsi="Arial Narrow"/>
              </w:rPr>
              <w:t>Yes</w:t>
            </w:r>
          </w:p>
        </w:tc>
        <w:tc>
          <w:tcPr>
            <w:tcW w:w="4797" w:type="dxa"/>
          </w:tcPr>
          <w:p w14:paraId="485D3066" w14:textId="08D0BC45" w:rsidR="0043426F" w:rsidRPr="00B01724" w:rsidRDefault="00B01724" w:rsidP="0043426F">
            <w:pPr>
              <w:spacing w:after="0"/>
              <w:rPr>
                <w:rFonts w:ascii="Arial Narrow" w:eastAsia="Calibri" w:hAnsi="Arial Narrow"/>
                <w:sz w:val="22"/>
                <w:szCs w:val="22"/>
              </w:rPr>
            </w:pPr>
            <w:r w:rsidRPr="00B01724">
              <w:rPr>
                <w:rFonts w:ascii="Arial Narrow" w:eastAsia="Calibri" w:hAnsi="Arial Narrow"/>
                <w:sz w:val="22"/>
                <w:szCs w:val="22"/>
              </w:rPr>
              <w:t>SE</w:t>
            </w:r>
            <w:r>
              <w:rPr>
                <w:rFonts w:ascii="Arial Narrow" w:eastAsia="Calibri" w:hAnsi="Arial Narrow"/>
                <w:sz w:val="22"/>
                <w:szCs w:val="22"/>
              </w:rPr>
              <w:t>, V. Policy Programs, A. Implementation Measures, 2.</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5021090B"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337A571B" w14:textId="2A2B1D11"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63EA77A7"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10160BDD" w14:textId="77777777" w:rsidR="001440B9" w:rsidRDefault="001440B9" w:rsidP="001440B9">
            <w:pPr>
              <w:spacing w:after="0"/>
              <w:jc w:val="both"/>
              <w:rPr>
                <w:rFonts w:ascii="Arial Narrow" w:eastAsia="Calibri" w:hAnsi="Arial Narrow"/>
                <w:sz w:val="22"/>
                <w:szCs w:val="22"/>
              </w:rPr>
            </w:pPr>
            <w:r>
              <w:rPr>
                <w:rFonts w:ascii="Arial Narrow" w:eastAsia="Calibri" w:hAnsi="Arial Narrow"/>
                <w:sz w:val="22"/>
                <w:szCs w:val="22"/>
              </w:rPr>
              <w:t>Issue is identified in ZC-9.19.100</w:t>
            </w:r>
          </w:p>
          <w:p w14:paraId="38D1E90A" w14:textId="77777777" w:rsidR="001440B9" w:rsidRDefault="001440B9" w:rsidP="001440B9">
            <w:pPr>
              <w:pStyle w:val="ListParagraph"/>
              <w:numPr>
                <w:ilvl w:val="0"/>
                <w:numId w:val="50"/>
              </w:numPr>
              <w:spacing w:after="0"/>
              <w:jc w:val="both"/>
              <w:rPr>
                <w:rFonts w:ascii="Arial Narrow" w:eastAsia="Calibri" w:hAnsi="Arial Narrow"/>
                <w:sz w:val="22"/>
                <w:szCs w:val="22"/>
              </w:rPr>
            </w:pPr>
            <w:r>
              <w:rPr>
                <w:rFonts w:ascii="Arial Narrow" w:eastAsia="Calibri" w:hAnsi="Arial Narrow"/>
                <w:sz w:val="22"/>
                <w:szCs w:val="22"/>
              </w:rPr>
              <w:t xml:space="preserve">Identify existing development that do not meet or exceed the SRA Fire Safe Regulations or certified local ordinances. </w:t>
            </w:r>
          </w:p>
          <w:p w14:paraId="67E5FC1C" w14:textId="77777777" w:rsidR="001440B9" w:rsidRDefault="001440B9" w:rsidP="001440B9">
            <w:pPr>
              <w:pStyle w:val="ListParagraph"/>
              <w:numPr>
                <w:ilvl w:val="0"/>
                <w:numId w:val="50"/>
              </w:numPr>
              <w:spacing w:after="0"/>
              <w:jc w:val="both"/>
              <w:rPr>
                <w:rFonts w:ascii="Arial Narrow" w:eastAsia="Calibri" w:hAnsi="Arial Narrow"/>
                <w:sz w:val="22"/>
                <w:szCs w:val="22"/>
              </w:rPr>
            </w:pPr>
            <w:r>
              <w:rPr>
                <w:rFonts w:ascii="Arial Narrow" w:eastAsia="Calibri" w:hAnsi="Arial Narrow"/>
                <w:sz w:val="22"/>
                <w:szCs w:val="22"/>
              </w:rPr>
              <w:t>Develop mitigation measures for existing development that does not meet or exceed the SRA Fire Safe Regulations or certified local ordinances or identify policy to do so.</w:t>
            </w:r>
          </w:p>
          <w:p w14:paraId="357CEE4A" w14:textId="77777777" w:rsidR="0043426F" w:rsidRDefault="0043426F" w:rsidP="0043426F">
            <w:pPr>
              <w:spacing w:after="0"/>
              <w:rPr>
                <w:rFonts w:ascii="Arial Narrow" w:eastAsia="Calibri" w:hAnsi="Arial Narrow"/>
              </w:rPr>
            </w:pP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2C46F8EB"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12FA8129" w14:textId="0A6ACFC7"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174227AB"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60D82F1E" w14:textId="3C6033B6" w:rsidR="0043426F" w:rsidRDefault="001440B9" w:rsidP="0043426F">
            <w:pPr>
              <w:spacing w:after="0"/>
              <w:rPr>
                <w:rFonts w:ascii="Arial Narrow" w:eastAsia="Calibri" w:hAnsi="Arial Narrow"/>
              </w:rPr>
            </w:pPr>
            <w:r>
              <w:rPr>
                <w:rFonts w:ascii="Arial Narrow" w:eastAsia="Calibri" w:hAnsi="Arial Narrow"/>
                <w:sz w:val="22"/>
                <w:szCs w:val="22"/>
              </w:rPr>
              <w:t>Add to SE-IV: Developments in fire hazard areas should take all necessary precautions in preventing fire and reducing fire hazards.</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08EC867B"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36088DCF" w14:textId="04703F6B"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38CA7C4A"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51557A5C" w14:textId="310438B7"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248A812E" w:rsidR="0043426F" w:rsidRDefault="001440B9" w:rsidP="0043426F">
            <w:pPr>
              <w:spacing w:after="0"/>
              <w:rPr>
                <w:rFonts w:ascii="Arial Narrow" w:eastAsia="Calibri" w:hAnsi="Arial Narrow"/>
              </w:rPr>
            </w:pPr>
            <w:r>
              <w:rPr>
                <w:rFonts w:ascii="Arial Narrow" w:eastAsia="Calibri" w:hAnsi="Arial Narrow"/>
              </w:rPr>
              <w:t>Yes</w:t>
            </w:r>
          </w:p>
        </w:tc>
        <w:tc>
          <w:tcPr>
            <w:tcW w:w="4797" w:type="dxa"/>
          </w:tcPr>
          <w:p w14:paraId="7AE8FCC5" w14:textId="77777777" w:rsidR="001440B9" w:rsidRDefault="001440B9" w:rsidP="001440B9">
            <w:pPr>
              <w:spacing w:after="0"/>
              <w:jc w:val="both"/>
              <w:rPr>
                <w:rFonts w:ascii="Arial Narrow" w:eastAsia="Calibri" w:hAnsi="Arial Narrow"/>
                <w:sz w:val="22"/>
                <w:szCs w:val="22"/>
              </w:rPr>
            </w:pPr>
            <w:r>
              <w:rPr>
                <w:rFonts w:ascii="Arial Narrow" w:eastAsia="Calibri" w:hAnsi="Arial Narrow"/>
                <w:sz w:val="22"/>
                <w:szCs w:val="22"/>
              </w:rPr>
              <w:t xml:space="preserve">SE-IV: Adequate multiple ingress and egress options for evacuation and fire suppression access routes should be provided in all areas used by the public. </w:t>
            </w:r>
          </w:p>
          <w:p w14:paraId="4D671C44" w14:textId="57360E52" w:rsidR="0043426F" w:rsidRDefault="001440B9" w:rsidP="001440B9">
            <w:pPr>
              <w:spacing w:after="0"/>
              <w:rPr>
                <w:rFonts w:ascii="Arial Narrow" w:eastAsia="Calibri" w:hAnsi="Arial Narrow"/>
              </w:rPr>
            </w:pPr>
            <w:r>
              <w:rPr>
                <w:rFonts w:ascii="Arial Narrow" w:eastAsia="Calibri" w:hAnsi="Arial Narrow"/>
                <w:sz w:val="22"/>
                <w:szCs w:val="22"/>
              </w:rPr>
              <w:t xml:space="preserve">Develop a policy that approval of parcel maps and tentative maps in SRAs or VHFHSZs is conditional based on meeting the SRA Fire Safe Regulations and the </w:t>
            </w:r>
            <w:r>
              <w:rPr>
                <w:rFonts w:ascii="Arial Narrow" w:hAnsi="Arial Narrow" w:cs="Calibri"/>
                <w:color w:val="000000"/>
                <w:sz w:val="22"/>
                <w:szCs w:val="22"/>
              </w:rPr>
              <w:t>Fire Hazard Reduction Around Buildings and Structures Regulations</w:t>
            </w:r>
            <w:r>
              <w:rPr>
                <w:rFonts w:ascii="Arial Narrow" w:eastAsia="Calibri" w:hAnsi="Arial Narrow"/>
                <w:sz w:val="22"/>
                <w:szCs w:val="22"/>
              </w:rPr>
              <w:t>, particularly those regarding road standards for ingress, egress, and fire equipment access. (See Gov. Code, § 66474.02.)</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04CB80D7"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555F3497" w14:textId="01424509"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1DBFF2F7"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1376AC6F" w14:textId="4D76C8CF"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4AD01297"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062D4805" w14:textId="18BC4DD4"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1CB367C6"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700590D7" w14:textId="58277613"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17C86668"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54E36175" w14:textId="2F41BEE2"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bl>
    <w:p w14:paraId="1EEEDC6D" w14:textId="6CF58EF4" w:rsidR="0043426F" w:rsidRPr="00D9262A" w:rsidRDefault="0043426F" w:rsidP="00742FF3">
      <w:pPr>
        <w:pStyle w:val="Heading3"/>
        <w:rPr>
          <w:rFonts w:eastAsia="Calibri"/>
        </w:rPr>
      </w:pPr>
      <w:bookmarkStart w:id="9" w:name="_Toc23168272"/>
      <w:r>
        <w:rPr>
          <w:rFonts w:eastAsia="Calibri"/>
        </w:rPr>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4D9519D7"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46EB045" w14:textId="6FBD7188" w:rsidR="00742FF3" w:rsidRPr="001440B9" w:rsidRDefault="001440B9" w:rsidP="00742FF3">
            <w:pPr>
              <w:spacing w:after="0"/>
              <w:rPr>
                <w:rFonts w:ascii="Arial Narrow" w:eastAsia="Calibri" w:hAnsi="Arial Narrow"/>
              </w:rPr>
            </w:pPr>
            <w:r>
              <w:rPr>
                <w:rFonts w:ascii="Arial Narrow" w:eastAsia="Calibri" w:hAnsi="Arial Narrow"/>
                <w:sz w:val="22"/>
                <w:szCs w:val="22"/>
              </w:rPr>
              <w:t>Develop a policy that development will be prioritized in areas with adequate water supply infrastructure.</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31F934C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33FD3EE" w14:textId="715DE280"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5D844FC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51D4744" w14:textId="2076FEDA" w:rsidR="00742FF3" w:rsidRPr="001440B9" w:rsidRDefault="00A7175A" w:rsidP="00742FF3">
            <w:pPr>
              <w:spacing w:after="0"/>
              <w:rPr>
                <w:rFonts w:ascii="Arial Narrow" w:eastAsia="Calibri" w:hAnsi="Arial Narrow"/>
              </w:rPr>
            </w:pPr>
            <w:r>
              <w:rPr>
                <w:rFonts w:ascii="Arial Narrow" w:eastAsia="Calibri" w:hAnsi="Arial Narrow"/>
                <w:sz w:val="22"/>
                <w:szCs w:val="22"/>
              </w:rPr>
              <w:t>Plan for the ongoing maintenance and long-term integrity of planned and existing water supply infrastructure.</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45306624"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1814EBDA" w14:textId="68686A59" w:rsidR="00742FF3" w:rsidRPr="001440B9" w:rsidRDefault="00A7175A" w:rsidP="00742FF3">
            <w:pPr>
              <w:spacing w:after="0"/>
              <w:rPr>
                <w:rFonts w:ascii="Arial Narrow" w:eastAsia="Calibri" w:hAnsi="Arial Narrow"/>
              </w:rPr>
            </w:pPr>
            <w:r>
              <w:rPr>
                <w:rFonts w:ascii="Arial Narrow" w:eastAsia="Calibri" w:hAnsi="Arial Narrow"/>
                <w:sz w:val="22"/>
                <w:szCs w:val="22"/>
              </w:rPr>
              <w:t>Design and maintain public and private streets for adequate fire apparatus vehicle access (ingress and egress), and install visible street signs.</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6CC98340"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B5001BC" w14:textId="2A3BC435"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592D3B20"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69B23733" w14:textId="0EB9F8A2"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523CD1D2"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C458DB9" w14:textId="7876A41F" w:rsidR="00742FF3" w:rsidRPr="001440B9" w:rsidRDefault="00A7175A" w:rsidP="00742FF3">
            <w:pPr>
              <w:spacing w:after="0"/>
              <w:rPr>
                <w:rFonts w:ascii="Arial Narrow" w:eastAsia="Calibri" w:hAnsi="Arial Narrow"/>
              </w:rPr>
            </w:pPr>
            <w:r>
              <w:rPr>
                <w:rFonts w:ascii="Arial Narrow" w:eastAsia="Calibri" w:hAnsi="Arial Narrow"/>
                <w:sz w:val="22"/>
                <w:szCs w:val="22"/>
              </w:rPr>
              <w:t>Design and maintain public and private streets for adequate fire apparatus vehicle access (ingress and egress), and install visible street signs.</w:t>
            </w:r>
          </w:p>
        </w:tc>
      </w:tr>
      <w:tr w:rsidR="00742FF3" w14:paraId="374E481A" w14:textId="77777777" w:rsidTr="0043426F">
        <w:tc>
          <w:tcPr>
            <w:tcW w:w="4796" w:type="dxa"/>
          </w:tcPr>
          <w:p w14:paraId="25A4927E" w14:textId="65826E30" w:rsidR="00742FF3" w:rsidRPr="00A7175A" w:rsidRDefault="00742FF3" w:rsidP="00742FF3">
            <w:pPr>
              <w:spacing w:after="0"/>
              <w:rPr>
                <w:rFonts w:ascii="Arial Narrow" w:eastAsia="Calibri" w:hAnsi="Arial Narrow"/>
                <w:sz w:val="22"/>
                <w:szCs w:val="22"/>
              </w:rPr>
            </w:pPr>
            <w:r w:rsidRPr="00A7175A">
              <w:rPr>
                <w:rFonts w:ascii="Arial Narrow" w:eastAsia="Calibri" w:hAnsi="Arial Narrow"/>
                <w:sz w:val="22"/>
                <w:szCs w:val="22"/>
              </w:rPr>
              <w:t>Community fire breaks? Is there a discussion of how those fire breaks will be maintained?</w:t>
            </w:r>
          </w:p>
        </w:tc>
        <w:tc>
          <w:tcPr>
            <w:tcW w:w="4797" w:type="dxa"/>
          </w:tcPr>
          <w:p w14:paraId="3594B115" w14:textId="04A412BE"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45A4D25" w14:textId="1BBE456F"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056E4C12"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510066E0" w14:textId="62F16ACE" w:rsidR="00742FF3" w:rsidRPr="001440B9" w:rsidRDefault="002723FF" w:rsidP="00742FF3">
            <w:pPr>
              <w:spacing w:after="0"/>
              <w:rPr>
                <w:rFonts w:ascii="Arial Narrow" w:eastAsia="Calibri" w:hAnsi="Arial Narrow"/>
              </w:rPr>
            </w:pPr>
            <w:r>
              <w:rPr>
                <w:rFonts w:ascii="Arial Narrow" w:eastAsia="Calibri" w:hAnsi="Arial Narrow"/>
              </w:rPr>
              <w:t>Create a map and reference it within the Safety Element</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1AAC5D06"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509E7A08" w14:textId="0C14962E" w:rsidR="00742FF3" w:rsidRPr="001440B9" w:rsidRDefault="002723FF" w:rsidP="00742FF3">
            <w:pPr>
              <w:spacing w:after="0"/>
              <w:rPr>
                <w:rFonts w:ascii="Arial Narrow" w:eastAsia="Calibri" w:hAnsi="Arial Narrow"/>
              </w:rPr>
            </w:pPr>
            <w:r>
              <w:rPr>
                <w:rFonts w:ascii="Arial Narrow" w:hAnsi="Arial Narrow" w:cs="Calibri"/>
                <w:color w:val="000000"/>
                <w:sz w:val="22"/>
                <w:szCs w:val="22"/>
              </w:rPr>
              <w:t>I</w:t>
            </w:r>
            <w:r w:rsidRPr="00990CC7">
              <w:rPr>
                <w:rFonts w:ascii="Arial Narrow" w:hAnsi="Arial Narrow" w:cs="Calibri"/>
                <w:color w:val="000000"/>
                <w:sz w:val="22"/>
                <w:szCs w:val="22"/>
              </w:rPr>
              <w:t>nclude an assessment and projection o</w:t>
            </w:r>
            <w:r>
              <w:rPr>
                <w:rFonts w:ascii="Arial Narrow" w:hAnsi="Arial Narrow" w:cs="Calibri"/>
                <w:color w:val="000000"/>
                <w:sz w:val="22"/>
                <w:szCs w:val="22"/>
              </w:rPr>
              <w:t>f future emergency service needs.</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47669D3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F49FEB7" w14:textId="4A72C63C" w:rsidR="00742FF3" w:rsidRPr="001440B9" w:rsidRDefault="00A7175A" w:rsidP="00742FF3">
            <w:pPr>
              <w:spacing w:after="0"/>
              <w:rPr>
                <w:rFonts w:ascii="Arial Narrow" w:eastAsia="Calibri" w:hAnsi="Arial Narrow"/>
              </w:rPr>
            </w:pPr>
            <w:r>
              <w:rPr>
                <w:rFonts w:ascii="Arial Narrow" w:eastAsia="Calibri" w:hAnsi="Arial Narrow"/>
                <w:sz w:val="22"/>
                <w:szCs w:val="22"/>
              </w:rPr>
              <w:t>Coordinate with local, state and federal fire protection agencies with respect to fire suppression, rescue, mitigation, training and education.</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lastRenderedPageBreak/>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3DD3E819"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6CE1E4AF" w14:textId="55F7AE39" w:rsidR="00742FF3" w:rsidRPr="001440B9" w:rsidRDefault="00A7175A" w:rsidP="00742FF3">
            <w:pPr>
              <w:spacing w:after="0"/>
              <w:rPr>
                <w:rFonts w:ascii="Arial Narrow" w:eastAsia="Calibri" w:hAnsi="Arial Narrow"/>
              </w:rPr>
            </w:pPr>
            <w:r>
              <w:rPr>
                <w:rFonts w:ascii="Arial Narrow" w:eastAsia="Calibri" w:hAnsi="Arial Narrow"/>
                <w:sz w:val="22"/>
                <w:szCs w:val="22"/>
              </w:rPr>
              <w:t>Coordinate with local, state and federal fire protection agencies with respect to fire suppression, rescue, mitigation, training and education.</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Include or reference CAL FIRE Fire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273E" w14:textId="77777777" w:rsidR="003D4E4F" w:rsidRDefault="003D4E4F">
      <w:r>
        <w:separator/>
      </w:r>
    </w:p>
    <w:p w14:paraId="016120E9" w14:textId="77777777" w:rsidR="003D4E4F" w:rsidRDefault="003D4E4F"/>
    <w:p w14:paraId="063844A5" w14:textId="77777777" w:rsidR="003D4E4F" w:rsidRDefault="003D4E4F" w:rsidP="00B33DC4"/>
  </w:endnote>
  <w:endnote w:type="continuationSeparator" w:id="0">
    <w:p w14:paraId="2BE93E33" w14:textId="77777777" w:rsidR="003D4E4F" w:rsidRDefault="003D4E4F">
      <w:r>
        <w:continuationSeparator/>
      </w:r>
    </w:p>
    <w:p w14:paraId="2E03FA07" w14:textId="77777777" w:rsidR="003D4E4F" w:rsidRDefault="003D4E4F"/>
    <w:p w14:paraId="699BADAA" w14:textId="77777777" w:rsidR="003D4E4F" w:rsidRDefault="003D4E4F"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61D8AF92" w:rsidR="00E348AD" w:rsidRDefault="002A5369">
    <w:pPr>
      <w:pStyle w:val="Footer"/>
    </w:pPr>
    <w:r>
      <w:t>WKSP 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156345B5" w:rsidR="003E1B86" w:rsidRDefault="003E1B86">
        <w:pPr>
          <w:pStyle w:val="Footer"/>
        </w:pPr>
        <w:r>
          <w:fldChar w:fldCharType="begin"/>
        </w:r>
        <w:r>
          <w:instrText xml:space="preserve"> PAGE   \* MERGEFORMAT </w:instrText>
        </w:r>
        <w:r>
          <w:fldChar w:fldCharType="separate"/>
        </w:r>
        <w:r w:rsidR="002A5369">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132C2CA0" w:rsidR="00E348AD" w:rsidRDefault="00E348AD">
        <w:pPr>
          <w:pStyle w:val="Footer"/>
        </w:pPr>
        <w:r>
          <w:fldChar w:fldCharType="begin"/>
        </w:r>
        <w:r>
          <w:instrText xml:space="preserve"> PAGE   \* MERGEFORMAT </w:instrText>
        </w:r>
        <w:r>
          <w:fldChar w:fldCharType="separate"/>
        </w:r>
        <w:r w:rsidR="002A5369">
          <w:rPr>
            <w:noProof/>
          </w:rPr>
          <w:t>10</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9DF9" w14:textId="77777777" w:rsidR="003D4E4F" w:rsidRDefault="003D4E4F">
      <w:r>
        <w:separator/>
      </w:r>
    </w:p>
    <w:p w14:paraId="1E043BC4" w14:textId="77777777" w:rsidR="003D4E4F" w:rsidRDefault="003D4E4F"/>
    <w:p w14:paraId="23758DAB" w14:textId="77777777" w:rsidR="003D4E4F" w:rsidRDefault="003D4E4F" w:rsidP="00B33DC4"/>
  </w:footnote>
  <w:footnote w:type="continuationSeparator" w:id="0">
    <w:p w14:paraId="00A90300" w14:textId="77777777" w:rsidR="003D4E4F" w:rsidRDefault="003D4E4F">
      <w:r>
        <w:continuationSeparator/>
      </w:r>
    </w:p>
    <w:p w14:paraId="6EE4D483" w14:textId="77777777" w:rsidR="003D4E4F" w:rsidRDefault="003D4E4F"/>
    <w:p w14:paraId="5BB9AAAA" w14:textId="77777777" w:rsidR="003D4E4F" w:rsidRDefault="003D4E4F"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32778"/>
    <w:multiLevelType w:val="hybridMultilevel"/>
    <w:tmpl w:val="23EEE27E"/>
    <w:lvl w:ilvl="0" w:tplc="AE94ED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1" w15:restartNumberingAfterBreak="0">
    <w:nsid w:val="3FF67D72"/>
    <w:multiLevelType w:val="hybridMultilevel"/>
    <w:tmpl w:val="7988CCA2"/>
    <w:lvl w:ilvl="0" w:tplc="8662CB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40"/>
  </w:num>
  <w:num w:numId="5">
    <w:abstractNumId w:val="47"/>
  </w:num>
  <w:num w:numId="6">
    <w:abstractNumId w:val="30"/>
  </w:num>
  <w:num w:numId="7">
    <w:abstractNumId w:val="45"/>
  </w:num>
  <w:num w:numId="8">
    <w:abstractNumId w:val="28"/>
  </w:num>
  <w:num w:numId="9">
    <w:abstractNumId w:val="41"/>
  </w:num>
  <w:num w:numId="10">
    <w:abstractNumId w:val="9"/>
  </w:num>
  <w:num w:numId="11">
    <w:abstractNumId w:val="48"/>
  </w:num>
  <w:num w:numId="12">
    <w:abstractNumId w:val="7"/>
  </w:num>
  <w:num w:numId="13">
    <w:abstractNumId w:val="35"/>
  </w:num>
  <w:num w:numId="14">
    <w:abstractNumId w:val="19"/>
  </w:num>
  <w:num w:numId="15">
    <w:abstractNumId w:val="23"/>
  </w:num>
  <w:num w:numId="16">
    <w:abstractNumId w:val="6"/>
  </w:num>
  <w:num w:numId="17">
    <w:abstractNumId w:val="11"/>
  </w:num>
  <w:num w:numId="18">
    <w:abstractNumId w:val="44"/>
  </w:num>
  <w:num w:numId="19">
    <w:abstractNumId w:val="49"/>
  </w:num>
  <w:num w:numId="20">
    <w:abstractNumId w:val="33"/>
  </w:num>
  <w:num w:numId="21">
    <w:abstractNumId w:val="37"/>
  </w:num>
  <w:num w:numId="22">
    <w:abstractNumId w:val="46"/>
  </w:num>
  <w:num w:numId="23">
    <w:abstractNumId w:val="12"/>
  </w:num>
  <w:num w:numId="24">
    <w:abstractNumId w:val="21"/>
  </w:num>
  <w:num w:numId="25">
    <w:abstractNumId w:val="25"/>
  </w:num>
  <w:num w:numId="26">
    <w:abstractNumId w:val="42"/>
  </w:num>
  <w:num w:numId="27">
    <w:abstractNumId w:val="1"/>
  </w:num>
  <w:num w:numId="28">
    <w:abstractNumId w:val="24"/>
  </w:num>
  <w:num w:numId="29">
    <w:abstractNumId w:val="20"/>
  </w:num>
  <w:num w:numId="30">
    <w:abstractNumId w:val="8"/>
  </w:num>
  <w:num w:numId="31">
    <w:abstractNumId w:val="14"/>
  </w:num>
  <w:num w:numId="32">
    <w:abstractNumId w:val="34"/>
  </w:num>
  <w:num w:numId="33">
    <w:abstractNumId w:val="5"/>
  </w:num>
  <w:num w:numId="34">
    <w:abstractNumId w:val="32"/>
  </w:num>
  <w:num w:numId="35">
    <w:abstractNumId w:val="38"/>
  </w:num>
  <w:num w:numId="36">
    <w:abstractNumId w:val="16"/>
  </w:num>
  <w:num w:numId="37">
    <w:abstractNumId w:val="43"/>
  </w:num>
  <w:num w:numId="38">
    <w:abstractNumId w:val="2"/>
  </w:num>
  <w:num w:numId="39">
    <w:abstractNumId w:val="29"/>
  </w:num>
  <w:num w:numId="40">
    <w:abstractNumId w:val="27"/>
  </w:num>
  <w:num w:numId="41">
    <w:abstractNumId w:val="36"/>
  </w:num>
  <w:num w:numId="42">
    <w:abstractNumId w:val="22"/>
  </w:num>
  <w:num w:numId="43">
    <w:abstractNumId w:val="26"/>
  </w:num>
  <w:num w:numId="44">
    <w:abstractNumId w:val="39"/>
  </w:num>
  <w:num w:numId="45">
    <w:abstractNumId w:val="18"/>
  </w:num>
  <w:num w:numId="46">
    <w:abstractNumId w:val="4"/>
  </w:num>
  <w:num w:numId="47">
    <w:abstractNumId w:val="13"/>
  </w:num>
  <w:num w:numId="48">
    <w:abstractNumId w:val="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CMefgTOMibynnGfRLL/9vwIwWnLuaHVgmXvT+rywimXkNmzFPyn2q5mZskIYGJrSJ5h7uNmT7G0Rcn2xqKjEA==" w:salt="GjIJ5JmkTguj1hU7LH3FRQ=="/>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B7EA5"/>
    <w:rsid w:val="000C6369"/>
    <w:rsid w:val="000C770E"/>
    <w:rsid w:val="000D0413"/>
    <w:rsid w:val="000D6D53"/>
    <w:rsid w:val="00113CB7"/>
    <w:rsid w:val="001265C8"/>
    <w:rsid w:val="00126CDD"/>
    <w:rsid w:val="00131465"/>
    <w:rsid w:val="00131AAD"/>
    <w:rsid w:val="00134559"/>
    <w:rsid w:val="00141D79"/>
    <w:rsid w:val="001440B9"/>
    <w:rsid w:val="00152161"/>
    <w:rsid w:val="00155D22"/>
    <w:rsid w:val="00156AE3"/>
    <w:rsid w:val="001614B8"/>
    <w:rsid w:val="00166826"/>
    <w:rsid w:val="001808D0"/>
    <w:rsid w:val="00180EB6"/>
    <w:rsid w:val="00183DC1"/>
    <w:rsid w:val="001865DA"/>
    <w:rsid w:val="00186A2F"/>
    <w:rsid w:val="001903AF"/>
    <w:rsid w:val="00196567"/>
    <w:rsid w:val="001A327F"/>
    <w:rsid w:val="001A481A"/>
    <w:rsid w:val="001A7515"/>
    <w:rsid w:val="001A7E1B"/>
    <w:rsid w:val="001B09BC"/>
    <w:rsid w:val="001B1491"/>
    <w:rsid w:val="001B2690"/>
    <w:rsid w:val="001C69F8"/>
    <w:rsid w:val="001E3770"/>
    <w:rsid w:val="001E5685"/>
    <w:rsid w:val="001F1633"/>
    <w:rsid w:val="00212E79"/>
    <w:rsid w:val="00223CA0"/>
    <w:rsid w:val="00225F98"/>
    <w:rsid w:val="00226655"/>
    <w:rsid w:val="00230EF8"/>
    <w:rsid w:val="002334D6"/>
    <w:rsid w:val="002338FA"/>
    <w:rsid w:val="00236EE4"/>
    <w:rsid w:val="002372AD"/>
    <w:rsid w:val="0023733F"/>
    <w:rsid w:val="00245595"/>
    <w:rsid w:val="00253EC3"/>
    <w:rsid w:val="00255E28"/>
    <w:rsid w:val="00262D54"/>
    <w:rsid w:val="00263A20"/>
    <w:rsid w:val="00270857"/>
    <w:rsid w:val="002723FF"/>
    <w:rsid w:val="002744E0"/>
    <w:rsid w:val="0028397C"/>
    <w:rsid w:val="00286A19"/>
    <w:rsid w:val="0029170B"/>
    <w:rsid w:val="00292611"/>
    <w:rsid w:val="002A2A7F"/>
    <w:rsid w:val="002A4800"/>
    <w:rsid w:val="002A4E66"/>
    <w:rsid w:val="002A5369"/>
    <w:rsid w:val="002A5450"/>
    <w:rsid w:val="002B3604"/>
    <w:rsid w:val="002C69AF"/>
    <w:rsid w:val="002D251D"/>
    <w:rsid w:val="002D473D"/>
    <w:rsid w:val="002D77DC"/>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B4611"/>
    <w:rsid w:val="003D0CC3"/>
    <w:rsid w:val="003D4E4F"/>
    <w:rsid w:val="003E1B86"/>
    <w:rsid w:val="003F5725"/>
    <w:rsid w:val="004072E2"/>
    <w:rsid w:val="0041163B"/>
    <w:rsid w:val="004127E2"/>
    <w:rsid w:val="00413436"/>
    <w:rsid w:val="004150CE"/>
    <w:rsid w:val="00420995"/>
    <w:rsid w:val="00420C9F"/>
    <w:rsid w:val="00420D91"/>
    <w:rsid w:val="00422C89"/>
    <w:rsid w:val="00425FAF"/>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65B5"/>
    <w:rsid w:val="004D7C1F"/>
    <w:rsid w:val="004E37B7"/>
    <w:rsid w:val="004E5631"/>
    <w:rsid w:val="004F162E"/>
    <w:rsid w:val="004F4DF8"/>
    <w:rsid w:val="004F60BC"/>
    <w:rsid w:val="005041DA"/>
    <w:rsid w:val="00505D40"/>
    <w:rsid w:val="00511668"/>
    <w:rsid w:val="00513022"/>
    <w:rsid w:val="005166B4"/>
    <w:rsid w:val="005166CF"/>
    <w:rsid w:val="00520FE8"/>
    <w:rsid w:val="0052102C"/>
    <w:rsid w:val="00523A67"/>
    <w:rsid w:val="00524490"/>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C3F8F"/>
    <w:rsid w:val="005C55B2"/>
    <w:rsid w:val="005C7B1D"/>
    <w:rsid w:val="005D1D10"/>
    <w:rsid w:val="005D3F26"/>
    <w:rsid w:val="005D5EE5"/>
    <w:rsid w:val="005D6006"/>
    <w:rsid w:val="005D65DA"/>
    <w:rsid w:val="005E1882"/>
    <w:rsid w:val="005E3DA5"/>
    <w:rsid w:val="005E4662"/>
    <w:rsid w:val="005F6E48"/>
    <w:rsid w:val="00600134"/>
    <w:rsid w:val="00620245"/>
    <w:rsid w:val="00620AD2"/>
    <w:rsid w:val="00627F0D"/>
    <w:rsid w:val="0063046D"/>
    <w:rsid w:val="0063621B"/>
    <w:rsid w:val="006370C3"/>
    <w:rsid w:val="00637D96"/>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5C3"/>
    <w:rsid w:val="006C02E8"/>
    <w:rsid w:val="006C6776"/>
    <w:rsid w:val="006C69C7"/>
    <w:rsid w:val="006D127F"/>
    <w:rsid w:val="006E620A"/>
    <w:rsid w:val="00700496"/>
    <w:rsid w:val="00700F6F"/>
    <w:rsid w:val="00705B32"/>
    <w:rsid w:val="007160CA"/>
    <w:rsid w:val="00717613"/>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BDD"/>
    <w:rsid w:val="007F527F"/>
    <w:rsid w:val="00801561"/>
    <w:rsid w:val="00816E94"/>
    <w:rsid w:val="00817777"/>
    <w:rsid w:val="00834662"/>
    <w:rsid w:val="008360C1"/>
    <w:rsid w:val="008403AE"/>
    <w:rsid w:val="00843E48"/>
    <w:rsid w:val="00843FB8"/>
    <w:rsid w:val="0084425F"/>
    <w:rsid w:val="00846B5F"/>
    <w:rsid w:val="0086242F"/>
    <w:rsid w:val="008647A2"/>
    <w:rsid w:val="0088391A"/>
    <w:rsid w:val="008A4F24"/>
    <w:rsid w:val="008A5715"/>
    <w:rsid w:val="008C053E"/>
    <w:rsid w:val="008C5CFD"/>
    <w:rsid w:val="008D0953"/>
    <w:rsid w:val="008D4E10"/>
    <w:rsid w:val="008E1EB3"/>
    <w:rsid w:val="008E2034"/>
    <w:rsid w:val="00905A76"/>
    <w:rsid w:val="00917FC0"/>
    <w:rsid w:val="00921AA5"/>
    <w:rsid w:val="00921B19"/>
    <w:rsid w:val="00922009"/>
    <w:rsid w:val="00923C14"/>
    <w:rsid w:val="00926E98"/>
    <w:rsid w:val="00933C9B"/>
    <w:rsid w:val="00935D29"/>
    <w:rsid w:val="00946845"/>
    <w:rsid w:val="0095056B"/>
    <w:rsid w:val="00955B67"/>
    <w:rsid w:val="0097110F"/>
    <w:rsid w:val="009712BD"/>
    <w:rsid w:val="009867F7"/>
    <w:rsid w:val="00990CC7"/>
    <w:rsid w:val="00990DC3"/>
    <w:rsid w:val="00991A2D"/>
    <w:rsid w:val="00995AA5"/>
    <w:rsid w:val="009B231D"/>
    <w:rsid w:val="009C01BD"/>
    <w:rsid w:val="009C19DE"/>
    <w:rsid w:val="009C2111"/>
    <w:rsid w:val="009C6858"/>
    <w:rsid w:val="009D18CA"/>
    <w:rsid w:val="009D227D"/>
    <w:rsid w:val="009D6C31"/>
    <w:rsid w:val="009E2C6D"/>
    <w:rsid w:val="009F2730"/>
    <w:rsid w:val="009F3A04"/>
    <w:rsid w:val="009F62D9"/>
    <w:rsid w:val="009F7CCE"/>
    <w:rsid w:val="009F7EA2"/>
    <w:rsid w:val="00A03C96"/>
    <w:rsid w:val="00A049AD"/>
    <w:rsid w:val="00A07E28"/>
    <w:rsid w:val="00A169A7"/>
    <w:rsid w:val="00A22D26"/>
    <w:rsid w:val="00A30E07"/>
    <w:rsid w:val="00A45B57"/>
    <w:rsid w:val="00A4644B"/>
    <w:rsid w:val="00A5348F"/>
    <w:rsid w:val="00A5784D"/>
    <w:rsid w:val="00A6258B"/>
    <w:rsid w:val="00A628A9"/>
    <w:rsid w:val="00A62AC3"/>
    <w:rsid w:val="00A7175A"/>
    <w:rsid w:val="00A73FD7"/>
    <w:rsid w:val="00A82E3C"/>
    <w:rsid w:val="00A93FB7"/>
    <w:rsid w:val="00A967BE"/>
    <w:rsid w:val="00AA210B"/>
    <w:rsid w:val="00AA3B49"/>
    <w:rsid w:val="00AA4E57"/>
    <w:rsid w:val="00AB293B"/>
    <w:rsid w:val="00AB3924"/>
    <w:rsid w:val="00AC4C52"/>
    <w:rsid w:val="00AC6A90"/>
    <w:rsid w:val="00AC76A1"/>
    <w:rsid w:val="00AD1596"/>
    <w:rsid w:val="00AD25E7"/>
    <w:rsid w:val="00AD3D29"/>
    <w:rsid w:val="00AE0826"/>
    <w:rsid w:val="00AE6E10"/>
    <w:rsid w:val="00AE7901"/>
    <w:rsid w:val="00AF080E"/>
    <w:rsid w:val="00AF3686"/>
    <w:rsid w:val="00B0043C"/>
    <w:rsid w:val="00B01724"/>
    <w:rsid w:val="00B0294D"/>
    <w:rsid w:val="00B0330C"/>
    <w:rsid w:val="00B0448A"/>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A25DA"/>
    <w:rsid w:val="00BA5E35"/>
    <w:rsid w:val="00BC4C01"/>
    <w:rsid w:val="00BC609F"/>
    <w:rsid w:val="00BC61BB"/>
    <w:rsid w:val="00BD1DCA"/>
    <w:rsid w:val="00BD35C9"/>
    <w:rsid w:val="00BD59AD"/>
    <w:rsid w:val="00BE150C"/>
    <w:rsid w:val="00BE2315"/>
    <w:rsid w:val="00BE5630"/>
    <w:rsid w:val="00BF1D07"/>
    <w:rsid w:val="00BF74E2"/>
    <w:rsid w:val="00C075C6"/>
    <w:rsid w:val="00C11848"/>
    <w:rsid w:val="00C15156"/>
    <w:rsid w:val="00C15AA0"/>
    <w:rsid w:val="00C17773"/>
    <w:rsid w:val="00C17F3A"/>
    <w:rsid w:val="00C20F32"/>
    <w:rsid w:val="00C220FB"/>
    <w:rsid w:val="00C27755"/>
    <w:rsid w:val="00C312DF"/>
    <w:rsid w:val="00C364DA"/>
    <w:rsid w:val="00C4474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46804"/>
    <w:rsid w:val="00D50801"/>
    <w:rsid w:val="00D51566"/>
    <w:rsid w:val="00D51A37"/>
    <w:rsid w:val="00D5742C"/>
    <w:rsid w:val="00D7057E"/>
    <w:rsid w:val="00D73496"/>
    <w:rsid w:val="00D9262A"/>
    <w:rsid w:val="00D92A5E"/>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420F9"/>
    <w:rsid w:val="00E461B7"/>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D0150"/>
    <w:rsid w:val="00EE003E"/>
    <w:rsid w:val="00EE5A36"/>
    <w:rsid w:val="00EE6B7B"/>
    <w:rsid w:val="00EF054F"/>
    <w:rsid w:val="00EF31C4"/>
    <w:rsid w:val="00EF40C5"/>
    <w:rsid w:val="00F11D73"/>
    <w:rsid w:val="00F1567E"/>
    <w:rsid w:val="00F167FA"/>
    <w:rsid w:val="00F16CE4"/>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18569">
      <w:bodyDiv w:val="1"/>
      <w:marLeft w:val="0"/>
      <w:marRight w:val="0"/>
      <w:marTop w:val="0"/>
      <w:marBottom w:val="0"/>
      <w:divBdr>
        <w:top w:val="none" w:sz="0" w:space="0" w:color="auto"/>
        <w:left w:val="none" w:sz="0" w:space="0" w:color="auto"/>
        <w:bottom w:val="none" w:sz="0" w:space="0" w:color="auto"/>
        <w:right w:val="none" w:sz="0" w:space="0" w:color="auto"/>
      </w:divBdr>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68700689">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20368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DDCD-6E28-4854-BF77-F0F825C3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3648</Words>
  <Characters>21833</Characters>
  <Application>Microsoft Office Word</Application>
  <DocSecurity>8</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3</cp:revision>
  <cp:lastPrinted>2016-07-12T23:13:00Z</cp:lastPrinted>
  <dcterms:created xsi:type="dcterms:W3CDTF">2020-03-26T18:10:00Z</dcterms:created>
  <dcterms:modified xsi:type="dcterms:W3CDTF">2020-03-30T20:46:00Z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