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D9A05" w14:textId="77777777" w:rsidR="00E35A9E" w:rsidRDefault="00E35A9E">
      <w:pPr>
        <w:rPr>
          <w:b/>
        </w:rPr>
      </w:pPr>
      <w:r>
        <w:rPr>
          <w:b/>
          <w:sz w:val="18"/>
        </w:rPr>
        <w:t xml:space="preserve">State of </w:t>
      </w:r>
      <w:smartTag w:uri="urn:schemas-microsoft-com:office:smarttags" w:element="State">
        <w:smartTag w:uri="urn:schemas-microsoft-com:office:smarttags" w:element="place">
          <w:r>
            <w:rPr>
              <w:b/>
              <w:sz w:val="18"/>
            </w:rPr>
            <w:t>California</w:t>
          </w:r>
        </w:smartTag>
      </w:smartTag>
      <w:r>
        <w:rPr>
          <w:b/>
          <w:sz w:val="18"/>
        </w:rPr>
        <w:t xml:space="preserve">                                                                                                                              </w:t>
      </w:r>
      <w:r>
        <w:rPr>
          <w:b/>
          <w:sz w:val="22"/>
        </w:rPr>
        <w:t>The Resources Agency</w:t>
      </w:r>
    </w:p>
    <w:p w14:paraId="733A8F40" w14:textId="77777777" w:rsidR="00E35A9E" w:rsidRDefault="00E35A9E"/>
    <w:p w14:paraId="2896777F" w14:textId="77777777" w:rsidR="00E35A9E" w:rsidRDefault="00E35A9E">
      <w:pPr>
        <w:rPr>
          <w:spacing w:val="100"/>
          <w:sz w:val="36"/>
        </w:rPr>
      </w:pPr>
      <w:r>
        <w:rPr>
          <w:b/>
          <w:spacing w:val="100"/>
          <w:sz w:val="36"/>
        </w:rPr>
        <w:t>Memorandum</w:t>
      </w:r>
    </w:p>
    <w:p w14:paraId="2F7316AF" w14:textId="77777777" w:rsidR="00E35A9E" w:rsidRDefault="00E35A9E">
      <w:pPr>
        <w:rPr>
          <w:spacing w:val="120"/>
        </w:rPr>
      </w:pPr>
    </w:p>
    <w:p w14:paraId="6D39FF5A" w14:textId="77777777" w:rsidR="00E35A9E" w:rsidRDefault="00E35A9E">
      <w:pPr>
        <w:rPr>
          <w:spacing w:val="120"/>
        </w:rPr>
      </w:pPr>
    </w:p>
    <w:tbl>
      <w:tblPr>
        <w:tblW w:w="0" w:type="auto"/>
        <w:tblLayout w:type="fixed"/>
        <w:tblCellMar>
          <w:left w:w="0" w:type="dxa"/>
          <w:right w:w="0" w:type="dxa"/>
        </w:tblCellMar>
        <w:tblLook w:val="0000" w:firstRow="0" w:lastRow="0" w:firstColumn="0" w:lastColumn="0" w:noHBand="0" w:noVBand="0"/>
      </w:tblPr>
      <w:tblGrid>
        <w:gridCol w:w="1260"/>
        <w:gridCol w:w="5689"/>
        <w:gridCol w:w="3851"/>
      </w:tblGrid>
      <w:tr w:rsidR="00E35A9E" w:rsidRPr="00D11B30" w14:paraId="66CAD0A3" w14:textId="77777777" w:rsidTr="00C619F4">
        <w:trPr>
          <w:cantSplit/>
          <w:trHeight w:hRule="exact" w:val="1476"/>
        </w:trPr>
        <w:tc>
          <w:tcPr>
            <w:tcW w:w="1260" w:type="dxa"/>
          </w:tcPr>
          <w:p w14:paraId="65062058" w14:textId="77777777" w:rsidR="00E35A9E" w:rsidRPr="00D11B30" w:rsidRDefault="00E35A9E">
            <w:pPr>
              <w:rPr>
                <w:rFonts w:cs="Arial"/>
                <w:szCs w:val="24"/>
              </w:rPr>
            </w:pPr>
            <w:r w:rsidRPr="00D11B30">
              <w:rPr>
                <w:rFonts w:cs="Arial"/>
                <w:b/>
                <w:szCs w:val="24"/>
              </w:rPr>
              <w:t>To:</w:t>
            </w:r>
          </w:p>
          <w:p w14:paraId="3713CB87" w14:textId="77777777" w:rsidR="00E35A9E" w:rsidRPr="00D11B30" w:rsidRDefault="00E35A9E">
            <w:pPr>
              <w:rPr>
                <w:rFonts w:cs="Arial"/>
                <w:szCs w:val="24"/>
              </w:rPr>
            </w:pPr>
            <w:r w:rsidRPr="00D11B30">
              <w:rPr>
                <w:rFonts w:cs="Arial"/>
                <w:szCs w:val="24"/>
              </w:rPr>
              <w:t xml:space="preserve">                                                                                                                            </w:t>
            </w:r>
          </w:p>
          <w:p w14:paraId="0D73C1AE" w14:textId="77777777" w:rsidR="00E35A9E" w:rsidRPr="00D11B30" w:rsidRDefault="00E35A9E">
            <w:pPr>
              <w:rPr>
                <w:rFonts w:cs="Arial"/>
                <w:szCs w:val="24"/>
              </w:rPr>
            </w:pPr>
            <w:r w:rsidRPr="00D11B30">
              <w:rPr>
                <w:rFonts w:cs="Arial"/>
                <w:szCs w:val="24"/>
              </w:rPr>
              <w:t xml:space="preserve">                                                                                                                            </w:t>
            </w:r>
          </w:p>
          <w:p w14:paraId="2CD9D633" w14:textId="77777777" w:rsidR="00E35A9E" w:rsidRPr="00D11B30" w:rsidRDefault="00E35A9E">
            <w:pPr>
              <w:rPr>
                <w:rFonts w:cs="Arial"/>
                <w:szCs w:val="24"/>
              </w:rPr>
            </w:pPr>
            <w:r w:rsidRPr="00D11B30">
              <w:rPr>
                <w:rFonts w:cs="Arial"/>
                <w:szCs w:val="24"/>
              </w:rPr>
              <w:t xml:space="preserve">                                                                                                                             </w:t>
            </w:r>
          </w:p>
          <w:p w14:paraId="3BFB3FE3" w14:textId="77777777" w:rsidR="00E35A9E" w:rsidRPr="00D11B30" w:rsidRDefault="00E35A9E">
            <w:pPr>
              <w:rPr>
                <w:rFonts w:cs="Arial"/>
                <w:szCs w:val="24"/>
              </w:rPr>
            </w:pPr>
            <w:r w:rsidRPr="00D11B30">
              <w:rPr>
                <w:rFonts w:cs="Arial"/>
                <w:szCs w:val="24"/>
              </w:rPr>
              <w:t xml:space="preserve">                                                                                                                            </w:t>
            </w:r>
          </w:p>
          <w:p w14:paraId="30CECDBE" w14:textId="77777777" w:rsidR="00E35A9E" w:rsidRPr="00D11B30" w:rsidRDefault="00E35A9E">
            <w:pPr>
              <w:rPr>
                <w:rFonts w:cs="Arial"/>
                <w:szCs w:val="24"/>
              </w:rPr>
            </w:pPr>
            <w:r w:rsidRPr="00D11B30">
              <w:rPr>
                <w:rFonts w:cs="Arial"/>
                <w:szCs w:val="24"/>
              </w:rPr>
              <w:t xml:space="preserve">                                                            </w:t>
            </w:r>
          </w:p>
          <w:p w14:paraId="08B7C98B" w14:textId="77777777" w:rsidR="00E35A9E" w:rsidRPr="00D11B30" w:rsidRDefault="00E35A9E">
            <w:pPr>
              <w:rPr>
                <w:rFonts w:cs="Arial"/>
                <w:szCs w:val="24"/>
              </w:rPr>
            </w:pPr>
            <w:r w:rsidRPr="00D11B30">
              <w:rPr>
                <w:rFonts w:cs="Arial"/>
                <w:szCs w:val="24"/>
              </w:rPr>
              <w:t xml:space="preserve">                                                       </w:t>
            </w:r>
          </w:p>
          <w:p w14:paraId="0DBB92F8" w14:textId="77777777" w:rsidR="00E35A9E" w:rsidRPr="00D11B30" w:rsidRDefault="00E35A9E">
            <w:pPr>
              <w:rPr>
                <w:rFonts w:cs="Arial"/>
                <w:szCs w:val="24"/>
              </w:rPr>
            </w:pPr>
            <w:r w:rsidRPr="00D11B30">
              <w:rPr>
                <w:rFonts w:cs="Arial"/>
                <w:szCs w:val="24"/>
              </w:rPr>
              <w:t xml:space="preserve">                                                                                                                                                                                                                                                     </w:t>
            </w:r>
          </w:p>
          <w:p w14:paraId="7001F3C8" w14:textId="77777777" w:rsidR="00E35A9E" w:rsidRPr="00D11B30" w:rsidRDefault="00E35A9E">
            <w:pPr>
              <w:rPr>
                <w:rFonts w:cs="Arial"/>
                <w:szCs w:val="24"/>
              </w:rPr>
            </w:pPr>
          </w:p>
          <w:p w14:paraId="15F228A2" w14:textId="77777777" w:rsidR="00E35A9E" w:rsidRPr="00D11B30" w:rsidRDefault="00E35A9E">
            <w:pPr>
              <w:rPr>
                <w:rFonts w:cs="Arial"/>
                <w:szCs w:val="24"/>
              </w:rPr>
            </w:pPr>
          </w:p>
          <w:p w14:paraId="060D94C3" w14:textId="77777777" w:rsidR="00E35A9E" w:rsidRPr="00D11B30" w:rsidRDefault="00E35A9E">
            <w:pPr>
              <w:rPr>
                <w:rFonts w:cs="Arial"/>
                <w:szCs w:val="24"/>
              </w:rPr>
            </w:pPr>
          </w:p>
          <w:p w14:paraId="5210C25F" w14:textId="77777777" w:rsidR="00E35A9E" w:rsidRPr="00D11B30" w:rsidRDefault="00E35A9E">
            <w:pPr>
              <w:rPr>
                <w:rFonts w:cs="Arial"/>
                <w:szCs w:val="24"/>
              </w:rPr>
            </w:pPr>
          </w:p>
          <w:p w14:paraId="67FDA5EE" w14:textId="77777777" w:rsidR="00E35A9E" w:rsidRPr="00D11B30" w:rsidRDefault="00E35A9E">
            <w:pPr>
              <w:rPr>
                <w:rFonts w:cs="Arial"/>
                <w:szCs w:val="24"/>
              </w:rPr>
            </w:pPr>
            <w:r w:rsidRPr="00D11B30">
              <w:rPr>
                <w:rFonts w:cs="Arial"/>
                <w:szCs w:val="24"/>
              </w:rPr>
              <w:t xml:space="preserve">                                                                                 </w:t>
            </w:r>
          </w:p>
        </w:tc>
        <w:tc>
          <w:tcPr>
            <w:tcW w:w="5689" w:type="dxa"/>
          </w:tcPr>
          <w:p w14:paraId="289DA872" w14:textId="74386FB1" w:rsidR="00E35A9E" w:rsidRPr="00D11B30" w:rsidRDefault="000F7736" w:rsidP="00B33AA8">
            <w:pPr>
              <w:jc w:val="both"/>
              <w:rPr>
                <w:rFonts w:cs="Arial"/>
                <w:szCs w:val="24"/>
              </w:rPr>
            </w:pPr>
            <w:bookmarkStart w:id="0" w:name="Recipient"/>
            <w:bookmarkEnd w:id="0"/>
            <w:r>
              <w:rPr>
                <w:rFonts w:cs="Arial"/>
                <w:szCs w:val="24"/>
              </w:rPr>
              <w:t>Board of Forestry</w:t>
            </w:r>
          </w:p>
          <w:p w14:paraId="4353F561" w14:textId="77777777" w:rsidR="00E35A9E" w:rsidRPr="00D11B30" w:rsidRDefault="00E35A9E" w:rsidP="00B33AA8">
            <w:pPr>
              <w:jc w:val="both"/>
              <w:rPr>
                <w:rFonts w:cs="Arial"/>
                <w:szCs w:val="24"/>
              </w:rPr>
            </w:pPr>
            <w:r w:rsidRPr="00D11B30">
              <w:rPr>
                <w:rFonts w:cs="Arial"/>
                <w:szCs w:val="24"/>
              </w:rPr>
              <w:t xml:space="preserve"> </w:t>
            </w:r>
          </w:p>
          <w:p w14:paraId="06F96D86" w14:textId="77777777" w:rsidR="00E35A9E" w:rsidRPr="00D11B30" w:rsidRDefault="00E35A9E" w:rsidP="002A0F83">
            <w:pPr>
              <w:jc w:val="both"/>
              <w:rPr>
                <w:rFonts w:cs="Arial"/>
                <w:szCs w:val="24"/>
              </w:rPr>
            </w:pPr>
          </w:p>
          <w:p w14:paraId="29EB54A5" w14:textId="77777777" w:rsidR="00E35A9E" w:rsidRPr="00D11B30" w:rsidRDefault="00E35A9E">
            <w:pPr>
              <w:rPr>
                <w:rFonts w:cs="Arial"/>
                <w:szCs w:val="24"/>
              </w:rPr>
            </w:pPr>
          </w:p>
          <w:p w14:paraId="441B02CD" w14:textId="77777777" w:rsidR="00E35A9E" w:rsidRPr="00D11B30" w:rsidRDefault="00E35A9E">
            <w:pPr>
              <w:rPr>
                <w:rFonts w:cs="Arial"/>
                <w:szCs w:val="24"/>
              </w:rPr>
            </w:pPr>
          </w:p>
          <w:p w14:paraId="5B47498A" w14:textId="77777777" w:rsidR="00E35A9E" w:rsidRPr="00D11B30" w:rsidRDefault="00E35A9E">
            <w:pPr>
              <w:rPr>
                <w:rFonts w:cs="Arial"/>
                <w:szCs w:val="24"/>
              </w:rPr>
            </w:pPr>
          </w:p>
          <w:p w14:paraId="58DD0F85" w14:textId="77777777" w:rsidR="00E35A9E" w:rsidRPr="00D11B30" w:rsidRDefault="00E35A9E">
            <w:pPr>
              <w:rPr>
                <w:rFonts w:cs="Arial"/>
                <w:szCs w:val="24"/>
              </w:rPr>
            </w:pPr>
          </w:p>
          <w:p w14:paraId="33A939BC" w14:textId="77777777" w:rsidR="00E35A9E" w:rsidRPr="00D11B30" w:rsidRDefault="00E35A9E">
            <w:pPr>
              <w:rPr>
                <w:rFonts w:cs="Arial"/>
                <w:szCs w:val="24"/>
              </w:rPr>
            </w:pPr>
          </w:p>
          <w:p w14:paraId="7E18A1A8" w14:textId="77777777" w:rsidR="00E35A9E" w:rsidRPr="00D11B30" w:rsidRDefault="00E35A9E">
            <w:pPr>
              <w:rPr>
                <w:rFonts w:cs="Arial"/>
                <w:szCs w:val="24"/>
              </w:rPr>
            </w:pPr>
          </w:p>
          <w:p w14:paraId="11FEAB5C" w14:textId="77777777" w:rsidR="00E35A9E" w:rsidRPr="00D11B30" w:rsidRDefault="00E35A9E">
            <w:pPr>
              <w:rPr>
                <w:rFonts w:cs="Arial"/>
                <w:szCs w:val="24"/>
              </w:rPr>
            </w:pPr>
            <w:r w:rsidRPr="00D11B30">
              <w:rPr>
                <w:rFonts w:cs="Arial"/>
                <w:szCs w:val="24"/>
              </w:rPr>
              <w:t xml:space="preserve"> </w:t>
            </w:r>
          </w:p>
        </w:tc>
        <w:tc>
          <w:tcPr>
            <w:tcW w:w="3851" w:type="dxa"/>
          </w:tcPr>
          <w:p w14:paraId="7200AFAD" w14:textId="61315254" w:rsidR="00D14AB7" w:rsidRPr="00A513FE" w:rsidRDefault="00E35A9E">
            <w:pPr>
              <w:rPr>
                <w:rFonts w:cs="Arial"/>
                <w:szCs w:val="24"/>
              </w:rPr>
            </w:pPr>
            <w:r w:rsidRPr="00AF1C66">
              <w:rPr>
                <w:rFonts w:cs="Arial"/>
                <w:b/>
                <w:szCs w:val="24"/>
              </w:rPr>
              <w:t>Date:</w:t>
            </w:r>
            <w:r w:rsidRPr="00A513FE">
              <w:rPr>
                <w:rFonts w:cs="Arial"/>
                <w:szCs w:val="24"/>
              </w:rPr>
              <w:t xml:space="preserve">  </w:t>
            </w:r>
            <w:r w:rsidR="000F7736">
              <w:rPr>
                <w:rFonts w:cs="Arial"/>
                <w:szCs w:val="24"/>
              </w:rPr>
              <w:t>June 29</w:t>
            </w:r>
            <w:r w:rsidR="0020698F">
              <w:rPr>
                <w:rFonts w:cs="Arial"/>
                <w:szCs w:val="24"/>
              </w:rPr>
              <w:t>, 2021</w:t>
            </w:r>
          </w:p>
          <w:p w14:paraId="1F607616" w14:textId="77777777" w:rsidR="009F4C73" w:rsidRPr="00D11B30" w:rsidRDefault="009F4C73">
            <w:pPr>
              <w:rPr>
                <w:rFonts w:cs="Arial"/>
                <w:szCs w:val="24"/>
              </w:rPr>
            </w:pPr>
          </w:p>
          <w:p w14:paraId="529EF5BE" w14:textId="0743D56E" w:rsidR="00E35A9E" w:rsidRPr="00D11B30" w:rsidRDefault="00E35A9E">
            <w:pPr>
              <w:rPr>
                <w:rFonts w:cs="Arial"/>
                <w:szCs w:val="24"/>
              </w:rPr>
            </w:pPr>
            <w:r w:rsidRPr="00D11B30">
              <w:rPr>
                <w:rFonts w:cs="Arial"/>
                <w:b/>
                <w:szCs w:val="24"/>
              </w:rPr>
              <w:t>Telephone:</w:t>
            </w:r>
            <w:r w:rsidRPr="00D11B30">
              <w:rPr>
                <w:rFonts w:cs="Arial"/>
                <w:szCs w:val="24"/>
              </w:rPr>
              <w:t xml:space="preserve"> </w:t>
            </w:r>
            <w:bookmarkStart w:id="1" w:name="Phone"/>
            <w:bookmarkEnd w:id="1"/>
            <w:r w:rsidRPr="00BA376E">
              <w:rPr>
                <w:rFonts w:cs="Arial"/>
                <w:szCs w:val="24"/>
              </w:rPr>
              <w:t>(</w:t>
            </w:r>
            <w:r w:rsidR="00ED0662" w:rsidRPr="00BA376E">
              <w:rPr>
                <w:rFonts w:cs="Arial"/>
                <w:szCs w:val="24"/>
              </w:rPr>
              <w:t>530</w:t>
            </w:r>
            <w:r w:rsidRPr="00BA376E">
              <w:rPr>
                <w:rFonts w:cs="Arial"/>
                <w:szCs w:val="24"/>
              </w:rPr>
              <w:t xml:space="preserve">) </w:t>
            </w:r>
            <w:r w:rsidR="000F7736">
              <w:rPr>
                <w:rFonts w:cs="Arial"/>
                <w:szCs w:val="24"/>
              </w:rPr>
              <w:t>379-5085</w:t>
            </w:r>
          </w:p>
          <w:p w14:paraId="37466C5D" w14:textId="77777777" w:rsidR="00E35A9E" w:rsidRPr="00D11B30" w:rsidRDefault="00E35A9E">
            <w:pPr>
              <w:rPr>
                <w:rFonts w:cs="Arial"/>
                <w:szCs w:val="24"/>
              </w:rPr>
            </w:pPr>
          </w:p>
          <w:p w14:paraId="23B80CAB" w14:textId="77777777" w:rsidR="00E35A9E" w:rsidRPr="00A513FE" w:rsidRDefault="00E35A9E">
            <w:pPr>
              <w:rPr>
                <w:rFonts w:cs="Arial"/>
                <w:szCs w:val="24"/>
              </w:rPr>
            </w:pPr>
            <w:r w:rsidRPr="00AF1C66">
              <w:rPr>
                <w:rFonts w:cs="Arial"/>
                <w:b/>
                <w:szCs w:val="24"/>
              </w:rPr>
              <w:t>Website:</w:t>
            </w:r>
            <w:r w:rsidRPr="00A513FE">
              <w:rPr>
                <w:rFonts w:cs="Arial"/>
                <w:szCs w:val="24"/>
              </w:rPr>
              <w:t xml:space="preserve"> www.fire.ca.gov</w:t>
            </w:r>
          </w:p>
        </w:tc>
      </w:tr>
    </w:tbl>
    <w:p w14:paraId="0DB2F939" w14:textId="77777777" w:rsidR="0083631B" w:rsidRPr="00D11B30" w:rsidRDefault="0083631B" w:rsidP="002A0F83">
      <w:pPr>
        <w:rPr>
          <w:rFonts w:cs="Arial"/>
          <w:b/>
          <w:szCs w:val="24"/>
        </w:rPr>
      </w:pPr>
    </w:p>
    <w:p w14:paraId="260FCAC9" w14:textId="1C3685AE" w:rsidR="006B3887" w:rsidRPr="00D11B30" w:rsidRDefault="00E35A9E" w:rsidP="002A0F83">
      <w:pPr>
        <w:rPr>
          <w:rFonts w:cs="Arial"/>
          <w:szCs w:val="24"/>
        </w:rPr>
      </w:pPr>
      <w:r w:rsidRPr="00D11B30">
        <w:rPr>
          <w:rFonts w:cs="Arial"/>
          <w:b/>
          <w:szCs w:val="24"/>
        </w:rPr>
        <w:t>From</w:t>
      </w:r>
      <w:r w:rsidRPr="00D11B30">
        <w:rPr>
          <w:rFonts w:cs="Arial"/>
          <w:szCs w:val="24"/>
        </w:rPr>
        <w:t xml:space="preserve">:         </w:t>
      </w:r>
      <w:r w:rsidR="0020698F">
        <w:rPr>
          <w:rFonts w:cs="Arial"/>
          <w:szCs w:val="24"/>
        </w:rPr>
        <w:t>Stewart McMorrow</w:t>
      </w:r>
      <w:r w:rsidR="00510CAE">
        <w:rPr>
          <w:rFonts w:cs="Arial"/>
          <w:szCs w:val="24"/>
        </w:rPr>
        <w:t xml:space="preserve">, </w:t>
      </w:r>
      <w:r w:rsidR="000F7736">
        <w:rPr>
          <w:rFonts w:cs="Arial"/>
          <w:szCs w:val="24"/>
        </w:rPr>
        <w:t>Staff Chief Wildfire Resilience</w:t>
      </w:r>
    </w:p>
    <w:p w14:paraId="46E35B02" w14:textId="5BCDC049" w:rsidR="00E35A9E" w:rsidRPr="00B33AA8" w:rsidRDefault="00ED0662" w:rsidP="006B3887">
      <w:pPr>
        <w:ind w:left="540" w:firstLine="720"/>
        <w:rPr>
          <w:rFonts w:cs="Arial"/>
          <w:szCs w:val="24"/>
        </w:rPr>
      </w:pPr>
      <w:r>
        <w:rPr>
          <w:rFonts w:cs="Arial"/>
          <w:szCs w:val="24"/>
        </w:rPr>
        <w:t xml:space="preserve">Lewis A. Moran Reforestation </w:t>
      </w:r>
      <w:r w:rsidR="00547984">
        <w:rPr>
          <w:rFonts w:cs="Arial"/>
          <w:szCs w:val="24"/>
        </w:rPr>
        <w:t>Center</w:t>
      </w:r>
    </w:p>
    <w:p w14:paraId="1B273B56" w14:textId="77777777" w:rsidR="00E35A9E" w:rsidRPr="00B33AA8" w:rsidRDefault="00E35A9E" w:rsidP="002A0F83">
      <w:pPr>
        <w:ind w:left="1260"/>
        <w:jc w:val="both"/>
        <w:rPr>
          <w:rFonts w:cs="Arial"/>
          <w:szCs w:val="24"/>
        </w:rPr>
      </w:pPr>
      <w:r>
        <w:rPr>
          <w:rFonts w:cs="Arial"/>
          <w:szCs w:val="24"/>
        </w:rPr>
        <w:t>Resource Management</w:t>
      </w:r>
    </w:p>
    <w:p w14:paraId="4B1C2364" w14:textId="77777777" w:rsidR="00E35A9E" w:rsidRPr="00B33AA8" w:rsidRDefault="00E35A9E" w:rsidP="002A0F83">
      <w:pPr>
        <w:ind w:left="1260"/>
        <w:rPr>
          <w:rFonts w:cs="Arial"/>
          <w:b/>
          <w:szCs w:val="24"/>
        </w:rPr>
      </w:pPr>
      <w:r w:rsidRPr="00B33AA8">
        <w:rPr>
          <w:rFonts w:cs="Arial"/>
          <w:b/>
          <w:szCs w:val="24"/>
        </w:rPr>
        <w:t>California Department of Forestry and Fire Protection (</w:t>
      </w:r>
      <w:smartTag w:uri="urn:schemas-microsoft-com:office:smarttags" w:element="State">
        <w:smartTag w:uri="urn:schemas-microsoft-com:office:smarttags" w:element="place">
          <w:r w:rsidRPr="00B33AA8">
            <w:rPr>
              <w:rFonts w:cs="Arial"/>
              <w:b/>
              <w:szCs w:val="24"/>
            </w:rPr>
            <w:t>CAL</w:t>
          </w:r>
        </w:smartTag>
      </w:smartTag>
      <w:r w:rsidRPr="00B33AA8">
        <w:rPr>
          <w:rFonts w:cs="Arial"/>
          <w:b/>
          <w:szCs w:val="24"/>
        </w:rPr>
        <w:t xml:space="preserve"> FIRE)</w:t>
      </w:r>
    </w:p>
    <w:p w14:paraId="1186824E" w14:textId="77777777" w:rsidR="00E35A9E" w:rsidRDefault="00E35A9E">
      <w:pPr>
        <w:rPr>
          <w:rFonts w:cs="Arial"/>
          <w:szCs w:val="24"/>
        </w:rPr>
      </w:pPr>
    </w:p>
    <w:tbl>
      <w:tblPr>
        <w:tblW w:w="0" w:type="auto"/>
        <w:tblLayout w:type="fixed"/>
        <w:tblCellMar>
          <w:left w:w="0" w:type="dxa"/>
          <w:right w:w="0" w:type="dxa"/>
        </w:tblCellMar>
        <w:tblLook w:val="0000" w:firstRow="0" w:lastRow="0" w:firstColumn="0" w:lastColumn="0" w:noHBand="0" w:noVBand="0"/>
      </w:tblPr>
      <w:tblGrid>
        <w:gridCol w:w="1260"/>
        <w:gridCol w:w="8820"/>
      </w:tblGrid>
      <w:tr w:rsidR="00E35A9E" w:rsidRPr="00B33AA8" w14:paraId="193FEB0D" w14:textId="77777777" w:rsidTr="00A513FE">
        <w:trPr>
          <w:trHeight w:val="675"/>
        </w:trPr>
        <w:tc>
          <w:tcPr>
            <w:tcW w:w="1260" w:type="dxa"/>
          </w:tcPr>
          <w:p w14:paraId="7041AF0B" w14:textId="77777777" w:rsidR="00E35A9E" w:rsidRPr="00B33AA8" w:rsidRDefault="00E35A9E">
            <w:pPr>
              <w:rPr>
                <w:rFonts w:cs="Arial"/>
                <w:b/>
                <w:szCs w:val="24"/>
              </w:rPr>
            </w:pPr>
            <w:r w:rsidRPr="00B33AA8">
              <w:rPr>
                <w:rFonts w:cs="Arial"/>
                <w:b/>
                <w:szCs w:val="24"/>
              </w:rPr>
              <w:t xml:space="preserve">Subject:    </w:t>
            </w:r>
          </w:p>
        </w:tc>
        <w:tc>
          <w:tcPr>
            <w:tcW w:w="8820" w:type="dxa"/>
          </w:tcPr>
          <w:p w14:paraId="4C4F280A" w14:textId="7023CD93" w:rsidR="00A513FE" w:rsidRDefault="000F7736" w:rsidP="000F7736">
            <w:pPr>
              <w:rPr>
                <w:rFonts w:cs="Arial"/>
                <w:b/>
                <w:szCs w:val="24"/>
                <w:u w:val="single"/>
              </w:rPr>
            </w:pPr>
            <w:bookmarkStart w:id="2" w:name="Subject"/>
            <w:bookmarkEnd w:id="2"/>
            <w:r>
              <w:rPr>
                <w:rFonts w:cs="Arial"/>
                <w:szCs w:val="24"/>
              </w:rPr>
              <w:t>Establishment of Seedling Prices for sale to the public</w:t>
            </w:r>
          </w:p>
          <w:p w14:paraId="42E65461" w14:textId="77777777" w:rsidR="00E35A9E" w:rsidRPr="00B33AA8" w:rsidRDefault="00E35A9E" w:rsidP="000F7736">
            <w:pPr>
              <w:jc w:val="center"/>
              <w:rPr>
                <w:rFonts w:cs="Arial"/>
                <w:szCs w:val="24"/>
              </w:rPr>
            </w:pPr>
          </w:p>
        </w:tc>
      </w:tr>
    </w:tbl>
    <w:p w14:paraId="44291515" w14:textId="77777777" w:rsidR="00E35A9E" w:rsidRPr="00B33AA8" w:rsidRDefault="00E35A9E">
      <w:pPr>
        <w:rPr>
          <w:rFonts w:cs="Arial"/>
          <w:b/>
          <w:szCs w:val="24"/>
        </w:rPr>
        <w:sectPr w:rsidR="00E35A9E" w:rsidRPr="00B33AA8">
          <w:footerReference w:type="default" r:id="rId8"/>
          <w:type w:val="continuous"/>
          <w:pgSz w:w="12240" w:h="15840" w:code="1"/>
          <w:pgMar w:top="720" w:right="720" w:bottom="720" w:left="720" w:header="720" w:footer="720" w:gutter="0"/>
          <w:cols w:space="720"/>
        </w:sectPr>
      </w:pPr>
    </w:p>
    <w:p w14:paraId="07ECCBF7" w14:textId="77777777" w:rsidR="000F7736" w:rsidRPr="000F7736" w:rsidRDefault="000F7736" w:rsidP="000F7736">
      <w:pPr>
        <w:rPr>
          <w:b/>
          <w:sz w:val="28"/>
        </w:rPr>
      </w:pPr>
      <w:r w:rsidRPr="000F7736">
        <w:rPr>
          <w:b/>
          <w:sz w:val="28"/>
        </w:rPr>
        <w:t>Nursery Background</w:t>
      </w:r>
    </w:p>
    <w:p w14:paraId="22596952" w14:textId="4A98E9AD" w:rsidR="000F7736" w:rsidRPr="000F7736" w:rsidRDefault="000F7736" w:rsidP="000F7736">
      <w:r w:rsidRPr="000F7736">
        <w:t>CAL FIRE operated a forest nursery at the L</w:t>
      </w:r>
      <w:r>
        <w:t xml:space="preserve">. </w:t>
      </w:r>
      <w:r w:rsidRPr="000F7736">
        <w:t>A</w:t>
      </w:r>
      <w:r>
        <w:t>.</w:t>
      </w:r>
      <w:r w:rsidRPr="000F7736">
        <w:t xml:space="preserve"> Moran Reforestation Center in Davis, CA, from 1921-2003, at which point nursery operations were shuttered due to budget constraints. In 2018, CAL FIRE staff began the process of re-opening the nursery, producing a small crop of 21,380 containerized seedlings in 2019 and a crop of 82,000 seedlings in 2020. In 2021, nursery staff are on track to produce 185,000 seedlings.</w:t>
      </w:r>
    </w:p>
    <w:p w14:paraId="6B0A029B" w14:textId="77777777" w:rsidR="000F7736" w:rsidRDefault="000F7736" w:rsidP="000F7736">
      <w:pPr>
        <w:rPr>
          <w:i/>
          <w:iCs/>
        </w:rPr>
      </w:pPr>
    </w:p>
    <w:p w14:paraId="5B2A372B" w14:textId="4EE2BA18" w:rsidR="000F7736" w:rsidRPr="000F7736" w:rsidRDefault="000F7736" w:rsidP="000F7736">
      <w:pPr>
        <w:rPr>
          <w:b/>
          <w:i/>
          <w:iCs/>
        </w:rPr>
      </w:pPr>
      <w:r w:rsidRPr="000F7736">
        <w:rPr>
          <w:b/>
          <w:i/>
          <w:iCs/>
        </w:rPr>
        <w:t>Nursery facilities</w:t>
      </w:r>
    </w:p>
    <w:p w14:paraId="7D93584A" w14:textId="18225EFE" w:rsidR="000F7736" w:rsidRPr="000F7736" w:rsidRDefault="000F7736" w:rsidP="000F7736">
      <w:r w:rsidRPr="000F7736">
        <w:t xml:space="preserve">Presently, the nursery has two 3,000 square-foot greenhouses and one 8,500 square-foot shade house, with imminent plans to construct two additional 3,000 square-foot shade houses, allowing for a maximum annual production of 240,000 containerized seedlings under ideal conditions. The nursery has also secured the materials to construct an additional 9,800 square-foot greenhouse, pending 2022 </w:t>
      </w:r>
      <w:r>
        <w:t>Capital Outlay Budget Change Proposal</w:t>
      </w:r>
      <w:r w:rsidRPr="000F7736">
        <w:t xml:space="preserve"> </w:t>
      </w:r>
      <w:r>
        <w:t>which would grant approval for construction</w:t>
      </w:r>
      <w:r w:rsidRPr="000F7736">
        <w:t>. If successful, the new greenhouse would bring total maximum production capacity up to 520,000 by the 2023 growing season. At this stage, there are no plans to resume bare-root production.</w:t>
      </w:r>
    </w:p>
    <w:p w14:paraId="7DB084CB" w14:textId="77777777" w:rsidR="000F7736" w:rsidRDefault="000F7736" w:rsidP="000F7736">
      <w:pPr>
        <w:rPr>
          <w:i/>
          <w:iCs/>
        </w:rPr>
      </w:pPr>
    </w:p>
    <w:p w14:paraId="18AF0FC3" w14:textId="505F93A8" w:rsidR="000F7736" w:rsidRPr="000F7736" w:rsidRDefault="000F7736" w:rsidP="000F7736">
      <w:pPr>
        <w:rPr>
          <w:b/>
          <w:i/>
          <w:iCs/>
        </w:rPr>
      </w:pPr>
      <w:r w:rsidRPr="000F7736">
        <w:rPr>
          <w:b/>
          <w:i/>
          <w:iCs/>
        </w:rPr>
        <w:t>Nursery customers</w:t>
      </w:r>
    </w:p>
    <w:p w14:paraId="0EFC6F81" w14:textId="333D480D" w:rsidR="000F7736" w:rsidRDefault="000F7736" w:rsidP="000F7736">
      <w:r w:rsidRPr="000F7736">
        <w:t>Since re-opening in 2018, the nursery has provided seedlings to a mix of foundations, trusts, mid-size landowners, and non-industrial, small scale private landowners, as well as to State Demonstration Forests. The priority focus on is non-industrial private landowners, as reflected in the 2020 median order size of 200 trees. Despite most orders being small orders, most trees did go to larger projects in 2020, as detailed in Figure 1.</w:t>
      </w:r>
    </w:p>
    <w:p w14:paraId="5101D8B0" w14:textId="77777777" w:rsidR="000F7736" w:rsidRPr="000F7736" w:rsidRDefault="000F7736" w:rsidP="000F7736"/>
    <w:tbl>
      <w:tblPr>
        <w:tblStyle w:val="TableGrid"/>
        <w:tblW w:w="0" w:type="auto"/>
        <w:tblLook w:val="04A0" w:firstRow="1" w:lastRow="0" w:firstColumn="1" w:lastColumn="0" w:noHBand="0" w:noVBand="1"/>
        <w:tblCaption w:val="table 1"/>
      </w:tblPr>
      <w:tblGrid>
        <w:gridCol w:w="3116"/>
        <w:gridCol w:w="3117"/>
        <w:gridCol w:w="3117"/>
      </w:tblGrid>
      <w:tr w:rsidR="000F7736" w:rsidRPr="000F7736" w14:paraId="290D6E88" w14:textId="77777777" w:rsidTr="00DC5D70">
        <w:trPr>
          <w:tblHeader/>
        </w:trPr>
        <w:tc>
          <w:tcPr>
            <w:tcW w:w="3116" w:type="dxa"/>
          </w:tcPr>
          <w:p w14:paraId="054E5C2B" w14:textId="77777777" w:rsidR="000F7736" w:rsidRPr="000F7736" w:rsidRDefault="000F7736" w:rsidP="000F7736">
            <w:r w:rsidRPr="000F7736">
              <w:t>Customer Type</w:t>
            </w:r>
          </w:p>
        </w:tc>
        <w:tc>
          <w:tcPr>
            <w:tcW w:w="3117" w:type="dxa"/>
          </w:tcPr>
          <w:p w14:paraId="2A3288DB" w14:textId="77777777" w:rsidR="000F7736" w:rsidRPr="000F7736" w:rsidRDefault="000F7736" w:rsidP="000F7736">
            <w:r w:rsidRPr="000F7736">
              <w:t>Number of Orders</w:t>
            </w:r>
          </w:p>
        </w:tc>
        <w:tc>
          <w:tcPr>
            <w:tcW w:w="3117" w:type="dxa"/>
          </w:tcPr>
          <w:p w14:paraId="6FB90BFA" w14:textId="77777777" w:rsidR="000F7736" w:rsidRPr="000F7736" w:rsidRDefault="000F7736" w:rsidP="000F7736">
            <w:r w:rsidRPr="000F7736">
              <w:t>Number of Seedlings</w:t>
            </w:r>
          </w:p>
        </w:tc>
      </w:tr>
      <w:tr w:rsidR="000F7736" w:rsidRPr="000F7736" w14:paraId="4F0642E6" w14:textId="77777777" w:rsidTr="00735CFE">
        <w:tc>
          <w:tcPr>
            <w:tcW w:w="3116" w:type="dxa"/>
          </w:tcPr>
          <w:p w14:paraId="035622DD" w14:textId="77777777" w:rsidR="000F7736" w:rsidRPr="000F7736" w:rsidRDefault="000F7736" w:rsidP="000F7736">
            <w:r w:rsidRPr="000F7736">
              <w:t>Tree Planting Trusts and Non-Profits</w:t>
            </w:r>
          </w:p>
        </w:tc>
        <w:tc>
          <w:tcPr>
            <w:tcW w:w="3117" w:type="dxa"/>
          </w:tcPr>
          <w:p w14:paraId="1A842864" w14:textId="77777777" w:rsidR="000F7736" w:rsidRPr="000F7736" w:rsidRDefault="000F7736" w:rsidP="000F7736">
            <w:r w:rsidRPr="000F7736">
              <w:t>5</w:t>
            </w:r>
          </w:p>
        </w:tc>
        <w:tc>
          <w:tcPr>
            <w:tcW w:w="3117" w:type="dxa"/>
          </w:tcPr>
          <w:p w14:paraId="5B0E4F54" w14:textId="77777777" w:rsidR="000F7736" w:rsidRPr="000F7736" w:rsidRDefault="000F7736" w:rsidP="000F7736">
            <w:r w:rsidRPr="000F7736">
              <w:t>59,282</w:t>
            </w:r>
          </w:p>
        </w:tc>
      </w:tr>
      <w:tr w:rsidR="000F7736" w:rsidRPr="000F7736" w14:paraId="23F2F76A" w14:textId="77777777" w:rsidTr="00735CFE">
        <w:tc>
          <w:tcPr>
            <w:tcW w:w="3116" w:type="dxa"/>
          </w:tcPr>
          <w:p w14:paraId="3E415549" w14:textId="77777777" w:rsidR="000F7736" w:rsidRPr="000F7736" w:rsidRDefault="000F7736" w:rsidP="000F7736">
            <w:r w:rsidRPr="000F7736">
              <w:lastRenderedPageBreak/>
              <w:t>Large Private Land Projects (&gt; 1,000 seedlings)</w:t>
            </w:r>
          </w:p>
        </w:tc>
        <w:tc>
          <w:tcPr>
            <w:tcW w:w="3117" w:type="dxa"/>
          </w:tcPr>
          <w:p w14:paraId="6B71A24A" w14:textId="77777777" w:rsidR="000F7736" w:rsidRPr="000F7736" w:rsidRDefault="000F7736" w:rsidP="000F7736">
            <w:r w:rsidRPr="000F7736">
              <w:t>5</w:t>
            </w:r>
          </w:p>
        </w:tc>
        <w:tc>
          <w:tcPr>
            <w:tcW w:w="3117" w:type="dxa"/>
          </w:tcPr>
          <w:p w14:paraId="016BE9BF" w14:textId="77777777" w:rsidR="000F7736" w:rsidRPr="000F7736" w:rsidRDefault="000F7736" w:rsidP="000F7736">
            <w:r w:rsidRPr="000F7736">
              <w:t>21,314</w:t>
            </w:r>
          </w:p>
        </w:tc>
      </w:tr>
      <w:tr w:rsidR="000F7736" w:rsidRPr="000F7736" w14:paraId="54FF7710" w14:textId="77777777" w:rsidTr="00735CFE">
        <w:tc>
          <w:tcPr>
            <w:tcW w:w="3116" w:type="dxa"/>
          </w:tcPr>
          <w:p w14:paraId="3B0A6BBC" w14:textId="77777777" w:rsidR="000F7736" w:rsidRPr="000F7736" w:rsidRDefault="000F7736" w:rsidP="000F7736">
            <w:r w:rsidRPr="000F7736">
              <w:t>Small Private Land Projects (&lt;1,000 seedlings)</w:t>
            </w:r>
          </w:p>
        </w:tc>
        <w:tc>
          <w:tcPr>
            <w:tcW w:w="3117" w:type="dxa"/>
          </w:tcPr>
          <w:p w14:paraId="19D3E28E" w14:textId="77777777" w:rsidR="000F7736" w:rsidRPr="000F7736" w:rsidRDefault="000F7736" w:rsidP="000F7736">
            <w:r w:rsidRPr="000F7736">
              <w:t>20</w:t>
            </w:r>
          </w:p>
        </w:tc>
        <w:tc>
          <w:tcPr>
            <w:tcW w:w="3117" w:type="dxa"/>
          </w:tcPr>
          <w:p w14:paraId="70A715E2" w14:textId="77777777" w:rsidR="000F7736" w:rsidRPr="000F7736" w:rsidRDefault="000F7736" w:rsidP="000F7736">
            <w:r w:rsidRPr="000F7736">
              <w:t>2,640</w:t>
            </w:r>
          </w:p>
        </w:tc>
      </w:tr>
    </w:tbl>
    <w:p w14:paraId="6787734E" w14:textId="2402DC11" w:rsidR="000F7736" w:rsidRPr="000F7736" w:rsidRDefault="000F7736" w:rsidP="000F7736">
      <w:pPr>
        <w:rPr>
          <w:sz w:val="20"/>
        </w:rPr>
      </w:pPr>
      <w:r w:rsidRPr="000F7736">
        <w:rPr>
          <w:sz w:val="20"/>
        </w:rPr>
        <w:t>Figure 1. 2020 Seedling production by customer type</w:t>
      </w:r>
    </w:p>
    <w:p w14:paraId="1CC12F40" w14:textId="77777777" w:rsidR="000F7736" w:rsidRPr="000F7736" w:rsidRDefault="000F7736" w:rsidP="000F7736"/>
    <w:p w14:paraId="525F7703" w14:textId="043D0B0D" w:rsidR="000F7736" w:rsidRDefault="000F7736" w:rsidP="000F7736">
      <w:r w:rsidRPr="000F7736">
        <w:t>Seedlings are grown for projects throughout the state, as reflected by the diversity of species and seed sources used in 2020 (Figures 2 and 3).</w:t>
      </w:r>
    </w:p>
    <w:p w14:paraId="34DD922B" w14:textId="77777777" w:rsidR="000F7736" w:rsidRPr="000F7736" w:rsidRDefault="000F7736" w:rsidP="000F7736"/>
    <w:tbl>
      <w:tblPr>
        <w:tblStyle w:val="TableGrid"/>
        <w:tblW w:w="0" w:type="auto"/>
        <w:tblLook w:val="04A0" w:firstRow="1" w:lastRow="0" w:firstColumn="1" w:lastColumn="0" w:noHBand="0" w:noVBand="1"/>
        <w:tblCaption w:val="table 2"/>
      </w:tblPr>
      <w:tblGrid>
        <w:gridCol w:w="4495"/>
        <w:gridCol w:w="1170"/>
      </w:tblGrid>
      <w:tr w:rsidR="000F7736" w:rsidRPr="000F7736" w14:paraId="6F162FE0" w14:textId="77777777" w:rsidTr="00DC5D70">
        <w:trPr>
          <w:tblHeader/>
        </w:trPr>
        <w:tc>
          <w:tcPr>
            <w:tcW w:w="4495" w:type="dxa"/>
          </w:tcPr>
          <w:p w14:paraId="33659BB6" w14:textId="77777777" w:rsidR="000F7736" w:rsidRPr="000F7736" w:rsidRDefault="000F7736" w:rsidP="000F7736">
            <w:r w:rsidRPr="000F7736">
              <w:t xml:space="preserve">Coast Redwood / </w:t>
            </w:r>
            <w:r w:rsidRPr="000F7736">
              <w:rPr>
                <w:i/>
                <w:iCs/>
              </w:rPr>
              <w:t>Sequoia sempervirens</w:t>
            </w:r>
          </w:p>
        </w:tc>
        <w:tc>
          <w:tcPr>
            <w:tcW w:w="1170" w:type="dxa"/>
          </w:tcPr>
          <w:p w14:paraId="5C1364FD" w14:textId="77777777" w:rsidR="000F7736" w:rsidRPr="000F7736" w:rsidRDefault="000F7736" w:rsidP="000F7736">
            <w:r w:rsidRPr="000F7736">
              <w:t>450</w:t>
            </w:r>
          </w:p>
        </w:tc>
      </w:tr>
      <w:tr w:rsidR="000F7736" w:rsidRPr="000F7736" w14:paraId="7D6693A3" w14:textId="77777777" w:rsidTr="00735CFE">
        <w:tc>
          <w:tcPr>
            <w:tcW w:w="4495" w:type="dxa"/>
          </w:tcPr>
          <w:p w14:paraId="413788C7" w14:textId="77777777" w:rsidR="000F7736" w:rsidRPr="000F7736" w:rsidRDefault="000F7736" w:rsidP="000F7736">
            <w:r w:rsidRPr="000F7736">
              <w:t xml:space="preserve">Douglas Fir / </w:t>
            </w:r>
            <w:r w:rsidRPr="000F7736">
              <w:rPr>
                <w:i/>
                <w:iCs/>
              </w:rPr>
              <w:t>Pseudotsuga menziesii</w:t>
            </w:r>
          </w:p>
        </w:tc>
        <w:tc>
          <w:tcPr>
            <w:tcW w:w="1170" w:type="dxa"/>
          </w:tcPr>
          <w:p w14:paraId="0A87236C" w14:textId="77777777" w:rsidR="000F7736" w:rsidRPr="000F7736" w:rsidRDefault="000F7736" w:rsidP="000F7736">
            <w:r w:rsidRPr="000F7736">
              <w:t>15,342</w:t>
            </w:r>
          </w:p>
        </w:tc>
      </w:tr>
      <w:tr w:rsidR="000F7736" w:rsidRPr="000F7736" w14:paraId="1F23EB9B" w14:textId="77777777" w:rsidTr="00735CFE">
        <w:tc>
          <w:tcPr>
            <w:tcW w:w="4495" w:type="dxa"/>
          </w:tcPr>
          <w:p w14:paraId="633AD743" w14:textId="77777777" w:rsidR="000F7736" w:rsidRPr="000F7736" w:rsidRDefault="000F7736" w:rsidP="000F7736">
            <w:r w:rsidRPr="000F7736">
              <w:t xml:space="preserve">Giant Sequoia / </w:t>
            </w:r>
            <w:r w:rsidRPr="000F7736">
              <w:rPr>
                <w:i/>
                <w:iCs/>
              </w:rPr>
              <w:t>Sequoiadendron giganteum</w:t>
            </w:r>
          </w:p>
        </w:tc>
        <w:tc>
          <w:tcPr>
            <w:tcW w:w="1170" w:type="dxa"/>
          </w:tcPr>
          <w:p w14:paraId="636119B4" w14:textId="77777777" w:rsidR="000F7736" w:rsidRPr="000F7736" w:rsidRDefault="000F7736" w:rsidP="000F7736">
            <w:r w:rsidRPr="000F7736">
              <w:t>550</w:t>
            </w:r>
          </w:p>
        </w:tc>
      </w:tr>
      <w:tr w:rsidR="000F7736" w:rsidRPr="000F7736" w14:paraId="4059F5E1" w14:textId="77777777" w:rsidTr="00735CFE">
        <w:tc>
          <w:tcPr>
            <w:tcW w:w="4495" w:type="dxa"/>
          </w:tcPr>
          <w:p w14:paraId="40124B49" w14:textId="77777777" w:rsidR="000F7736" w:rsidRPr="000F7736" w:rsidRDefault="000F7736" w:rsidP="000F7736">
            <w:pPr>
              <w:rPr>
                <w:i/>
                <w:iCs/>
              </w:rPr>
            </w:pPr>
            <w:r w:rsidRPr="000F7736">
              <w:t xml:space="preserve">Gray Pine / </w:t>
            </w:r>
            <w:r w:rsidRPr="000F7736">
              <w:rPr>
                <w:i/>
                <w:iCs/>
              </w:rPr>
              <w:t>Pinus sabiana</w:t>
            </w:r>
          </w:p>
        </w:tc>
        <w:tc>
          <w:tcPr>
            <w:tcW w:w="1170" w:type="dxa"/>
          </w:tcPr>
          <w:p w14:paraId="18DF0F48" w14:textId="77777777" w:rsidR="000F7736" w:rsidRPr="000F7736" w:rsidRDefault="000F7736" w:rsidP="000F7736">
            <w:r w:rsidRPr="000F7736">
              <w:t>3,435</w:t>
            </w:r>
          </w:p>
        </w:tc>
      </w:tr>
      <w:tr w:rsidR="000F7736" w:rsidRPr="000F7736" w14:paraId="30516CF6" w14:textId="77777777" w:rsidTr="00735CFE">
        <w:tc>
          <w:tcPr>
            <w:tcW w:w="4495" w:type="dxa"/>
          </w:tcPr>
          <w:p w14:paraId="563A7F78" w14:textId="77777777" w:rsidR="000F7736" w:rsidRPr="000F7736" w:rsidRDefault="000F7736" w:rsidP="000F7736">
            <w:pPr>
              <w:rPr>
                <w:i/>
                <w:iCs/>
              </w:rPr>
            </w:pPr>
            <w:r w:rsidRPr="000F7736">
              <w:t xml:space="preserve">Incense Cedar / </w:t>
            </w:r>
            <w:r w:rsidRPr="000F7736">
              <w:rPr>
                <w:i/>
                <w:iCs/>
              </w:rPr>
              <w:t>Calocedrus decurrens</w:t>
            </w:r>
          </w:p>
        </w:tc>
        <w:tc>
          <w:tcPr>
            <w:tcW w:w="1170" w:type="dxa"/>
          </w:tcPr>
          <w:p w14:paraId="1D390A6B" w14:textId="77777777" w:rsidR="000F7736" w:rsidRPr="000F7736" w:rsidRDefault="000F7736" w:rsidP="000F7736">
            <w:r w:rsidRPr="000F7736">
              <w:t>5,170</w:t>
            </w:r>
          </w:p>
        </w:tc>
      </w:tr>
      <w:tr w:rsidR="000F7736" w:rsidRPr="000F7736" w14:paraId="4BF5B2E1" w14:textId="77777777" w:rsidTr="00735CFE">
        <w:tc>
          <w:tcPr>
            <w:tcW w:w="4495" w:type="dxa"/>
          </w:tcPr>
          <w:p w14:paraId="3ECDD4C9" w14:textId="77777777" w:rsidR="000F7736" w:rsidRPr="000F7736" w:rsidRDefault="000F7736" w:rsidP="000F7736">
            <w:pPr>
              <w:rPr>
                <w:i/>
                <w:iCs/>
              </w:rPr>
            </w:pPr>
            <w:r w:rsidRPr="000F7736">
              <w:t xml:space="preserve">Ponderosa Pine / </w:t>
            </w:r>
            <w:r w:rsidRPr="000F7736">
              <w:rPr>
                <w:i/>
                <w:iCs/>
              </w:rPr>
              <w:t>Pinus ponderosa</w:t>
            </w:r>
          </w:p>
        </w:tc>
        <w:tc>
          <w:tcPr>
            <w:tcW w:w="1170" w:type="dxa"/>
          </w:tcPr>
          <w:p w14:paraId="7968FE6E" w14:textId="77777777" w:rsidR="000F7736" w:rsidRPr="000F7736" w:rsidRDefault="000F7736" w:rsidP="000F7736">
            <w:r w:rsidRPr="000F7736">
              <w:t>27,294</w:t>
            </w:r>
          </w:p>
        </w:tc>
      </w:tr>
      <w:tr w:rsidR="000F7736" w:rsidRPr="000F7736" w14:paraId="1FBF56F3" w14:textId="77777777" w:rsidTr="00735CFE">
        <w:tc>
          <w:tcPr>
            <w:tcW w:w="4495" w:type="dxa"/>
          </w:tcPr>
          <w:p w14:paraId="2BDC3163" w14:textId="77777777" w:rsidR="000F7736" w:rsidRPr="000F7736" w:rsidRDefault="000F7736" w:rsidP="000F7736">
            <w:pPr>
              <w:rPr>
                <w:i/>
                <w:iCs/>
              </w:rPr>
            </w:pPr>
            <w:r w:rsidRPr="000F7736">
              <w:t xml:space="preserve">Sugar Pine / </w:t>
            </w:r>
            <w:r w:rsidRPr="000F7736">
              <w:rPr>
                <w:i/>
                <w:iCs/>
              </w:rPr>
              <w:t>Pinus lambertiana</w:t>
            </w:r>
          </w:p>
        </w:tc>
        <w:tc>
          <w:tcPr>
            <w:tcW w:w="1170" w:type="dxa"/>
          </w:tcPr>
          <w:p w14:paraId="395F8007" w14:textId="77777777" w:rsidR="000F7736" w:rsidRPr="000F7736" w:rsidRDefault="000F7736" w:rsidP="000F7736">
            <w:r w:rsidRPr="000F7736">
              <w:t>27,513</w:t>
            </w:r>
          </w:p>
        </w:tc>
      </w:tr>
      <w:tr w:rsidR="000F7736" w:rsidRPr="000F7736" w14:paraId="504441BE" w14:textId="77777777" w:rsidTr="00735CFE">
        <w:tc>
          <w:tcPr>
            <w:tcW w:w="4495" w:type="dxa"/>
          </w:tcPr>
          <w:p w14:paraId="0A7769EB" w14:textId="77777777" w:rsidR="000F7736" w:rsidRPr="000F7736" w:rsidRDefault="000F7736" w:rsidP="000F7736">
            <w:pPr>
              <w:rPr>
                <w:i/>
                <w:iCs/>
              </w:rPr>
            </w:pPr>
            <w:r w:rsidRPr="000F7736">
              <w:t xml:space="preserve">Jeffrey Pine / </w:t>
            </w:r>
            <w:r w:rsidRPr="000F7736">
              <w:rPr>
                <w:i/>
                <w:iCs/>
              </w:rPr>
              <w:t>Pinus jefferyi</w:t>
            </w:r>
          </w:p>
        </w:tc>
        <w:tc>
          <w:tcPr>
            <w:tcW w:w="1170" w:type="dxa"/>
          </w:tcPr>
          <w:p w14:paraId="22271458" w14:textId="77777777" w:rsidR="000F7736" w:rsidRPr="000F7736" w:rsidRDefault="000F7736" w:rsidP="000F7736">
            <w:r w:rsidRPr="000F7736">
              <w:t>4,060</w:t>
            </w:r>
          </w:p>
        </w:tc>
      </w:tr>
    </w:tbl>
    <w:p w14:paraId="659B04B1" w14:textId="3A3E7122" w:rsidR="000F7736" w:rsidRPr="000F7736" w:rsidRDefault="000F7736" w:rsidP="000F7736">
      <w:pPr>
        <w:rPr>
          <w:sz w:val="20"/>
        </w:rPr>
      </w:pPr>
      <w:r w:rsidRPr="000F7736">
        <w:rPr>
          <w:sz w:val="20"/>
        </w:rPr>
        <w:t>Figure 2. 2020 Seedling production by species</w:t>
      </w:r>
    </w:p>
    <w:p w14:paraId="0886F8C0" w14:textId="77777777" w:rsidR="000F7736" w:rsidRPr="000F7736" w:rsidRDefault="000F7736" w:rsidP="000F7736"/>
    <w:tbl>
      <w:tblPr>
        <w:tblStyle w:val="TableGrid"/>
        <w:tblW w:w="0" w:type="auto"/>
        <w:tblLook w:val="04A0" w:firstRow="1" w:lastRow="0" w:firstColumn="1" w:lastColumn="0" w:noHBand="0" w:noVBand="1"/>
        <w:tblCaption w:val="table 3"/>
      </w:tblPr>
      <w:tblGrid>
        <w:gridCol w:w="1334"/>
        <w:gridCol w:w="2858"/>
        <w:gridCol w:w="2733"/>
        <w:gridCol w:w="2425"/>
      </w:tblGrid>
      <w:tr w:rsidR="000F7736" w:rsidRPr="000F7736" w14:paraId="7A34F897" w14:textId="77777777" w:rsidTr="00DC5D70">
        <w:trPr>
          <w:tblHeader/>
        </w:trPr>
        <w:tc>
          <w:tcPr>
            <w:tcW w:w="1334" w:type="dxa"/>
          </w:tcPr>
          <w:p w14:paraId="070FDF02" w14:textId="77777777" w:rsidR="000F7736" w:rsidRPr="000F7736" w:rsidRDefault="000F7736" w:rsidP="000F7736">
            <w:r w:rsidRPr="000F7736">
              <w:t>Seed Zone</w:t>
            </w:r>
          </w:p>
        </w:tc>
        <w:tc>
          <w:tcPr>
            <w:tcW w:w="2858" w:type="dxa"/>
          </w:tcPr>
          <w:p w14:paraId="06EB0800" w14:textId="77777777" w:rsidR="000F7736" w:rsidRPr="000F7736" w:rsidRDefault="000F7736" w:rsidP="000F7736">
            <w:r w:rsidRPr="000F7736">
              <w:t>Region</w:t>
            </w:r>
          </w:p>
        </w:tc>
        <w:tc>
          <w:tcPr>
            <w:tcW w:w="2733" w:type="dxa"/>
          </w:tcPr>
          <w:p w14:paraId="019EAB4A" w14:textId="77777777" w:rsidR="000F7736" w:rsidRPr="000F7736" w:rsidRDefault="000F7736" w:rsidP="000F7736">
            <w:r w:rsidRPr="000F7736">
              <w:t>Counties Encompassed</w:t>
            </w:r>
          </w:p>
        </w:tc>
        <w:tc>
          <w:tcPr>
            <w:tcW w:w="2425" w:type="dxa"/>
          </w:tcPr>
          <w:p w14:paraId="3F1DEDB4" w14:textId="77777777" w:rsidR="000F7736" w:rsidRPr="000F7736" w:rsidRDefault="000F7736" w:rsidP="000F7736">
            <w:r w:rsidRPr="000F7736">
              <w:t>Quantity</w:t>
            </w:r>
          </w:p>
        </w:tc>
      </w:tr>
      <w:tr w:rsidR="000F7736" w:rsidRPr="000F7736" w14:paraId="08F9D2A6" w14:textId="77777777" w:rsidTr="00735CFE">
        <w:tc>
          <w:tcPr>
            <w:tcW w:w="1334" w:type="dxa"/>
          </w:tcPr>
          <w:p w14:paraId="5D31BB3B" w14:textId="77777777" w:rsidR="000F7736" w:rsidRPr="000F7736" w:rsidRDefault="000F7736" w:rsidP="000F7736">
            <w:r w:rsidRPr="000F7736">
              <w:t>94</w:t>
            </w:r>
          </w:p>
        </w:tc>
        <w:tc>
          <w:tcPr>
            <w:tcW w:w="2858" w:type="dxa"/>
          </w:tcPr>
          <w:p w14:paraId="57E8A25F" w14:textId="77777777" w:rsidR="000F7736" w:rsidRPr="000F7736" w:rsidRDefault="000F7736" w:rsidP="000F7736">
            <w:r w:rsidRPr="000F7736">
              <w:t>Mendocino Coast</w:t>
            </w:r>
          </w:p>
        </w:tc>
        <w:tc>
          <w:tcPr>
            <w:tcW w:w="2733" w:type="dxa"/>
          </w:tcPr>
          <w:p w14:paraId="12A9EB7C" w14:textId="77777777" w:rsidR="000F7736" w:rsidRPr="000F7736" w:rsidRDefault="000F7736" w:rsidP="000F7736">
            <w:r w:rsidRPr="000F7736">
              <w:t>Mendocino</w:t>
            </w:r>
          </w:p>
        </w:tc>
        <w:tc>
          <w:tcPr>
            <w:tcW w:w="2425" w:type="dxa"/>
          </w:tcPr>
          <w:p w14:paraId="1BBBA6C7" w14:textId="77777777" w:rsidR="000F7736" w:rsidRPr="000F7736" w:rsidRDefault="000F7736" w:rsidP="000F7736">
            <w:r w:rsidRPr="000F7736">
              <w:t>3,550</w:t>
            </w:r>
          </w:p>
        </w:tc>
      </w:tr>
      <w:tr w:rsidR="000F7736" w:rsidRPr="000F7736" w14:paraId="379E9692" w14:textId="77777777" w:rsidTr="00735CFE">
        <w:tc>
          <w:tcPr>
            <w:tcW w:w="1334" w:type="dxa"/>
          </w:tcPr>
          <w:p w14:paraId="7312E02D" w14:textId="77777777" w:rsidR="000F7736" w:rsidRPr="000F7736" w:rsidRDefault="000F7736" w:rsidP="000F7736">
            <w:r w:rsidRPr="000F7736">
              <w:t>97</w:t>
            </w:r>
          </w:p>
        </w:tc>
        <w:tc>
          <w:tcPr>
            <w:tcW w:w="2858" w:type="dxa"/>
          </w:tcPr>
          <w:p w14:paraId="362F0F31" w14:textId="77777777" w:rsidR="000F7736" w:rsidRPr="000F7736" w:rsidRDefault="000F7736" w:rsidP="000F7736">
            <w:r w:rsidRPr="000F7736">
              <w:t>Central Coast/ South Bay</w:t>
            </w:r>
          </w:p>
        </w:tc>
        <w:tc>
          <w:tcPr>
            <w:tcW w:w="2733" w:type="dxa"/>
          </w:tcPr>
          <w:p w14:paraId="4666938E" w14:textId="77777777" w:rsidR="000F7736" w:rsidRPr="000F7736" w:rsidRDefault="000F7736" w:rsidP="000F7736">
            <w:r w:rsidRPr="000F7736">
              <w:t>San Mateo and Santa Cruz</w:t>
            </w:r>
          </w:p>
        </w:tc>
        <w:tc>
          <w:tcPr>
            <w:tcW w:w="2425" w:type="dxa"/>
          </w:tcPr>
          <w:p w14:paraId="683796BC" w14:textId="77777777" w:rsidR="000F7736" w:rsidRPr="000F7736" w:rsidRDefault="000F7736" w:rsidP="000F7736">
            <w:r w:rsidRPr="000F7736">
              <w:t>450</w:t>
            </w:r>
          </w:p>
        </w:tc>
      </w:tr>
      <w:tr w:rsidR="000F7736" w:rsidRPr="000F7736" w14:paraId="09344878" w14:textId="77777777" w:rsidTr="00735CFE">
        <w:tc>
          <w:tcPr>
            <w:tcW w:w="1334" w:type="dxa"/>
          </w:tcPr>
          <w:p w14:paraId="5A032492" w14:textId="77777777" w:rsidR="000F7736" w:rsidRPr="000F7736" w:rsidRDefault="000F7736" w:rsidP="000F7736">
            <w:r w:rsidRPr="000F7736">
              <w:t>372</w:t>
            </w:r>
          </w:p>
        </w:tc>
        <w:tc>
          <w:tcPr>
            <w:tcW w:w="2858" w:type="dxa"/>
          </w:tcPr>
          <w:p w14:paraId="459EE475" w14:textId="77777777" w:rsidR="000F7736" w:rsidRPr="000F7736" w:rsidRDefault="000F7736" w:rsidP="000F7736">
            <w:r w:rsidRPr="000F7736">
              <w:t>Inland North Coast Range</w:t>
            </w:r>
          </w:p>
        </w:tc>
        <w:tc>
          <w:tcPr>
            <w:tcW w:w="2733" w:type="dxa"/>
          </w:tcPr>
          <w:p w14:paraId="7BAF3A29" w14:textId="77777777" w:rsidR="000F7736" w:rsidRPr="000F7736" w:rsidRDefault="000F7736" w:rsidP="000F7736">
            <w:r w:rsidRPr="000F7736">
              <w:t>Lake, Colusa and Glenn</w:t>
            </w:r>
          </w:p>
        </w:tc>
        <w:tc>
          <w:tcPr>
            <w:tcW w:w="2425" w:type="dxa"/>
          </w:tcPr>
          <w:p w14:paraId="0C57390C" w14:textId="77777777" w:rsidR="000F7736" w:rsidRPr="000F7736" w:rsidRDefault="000F7736" w:rsidP="000F7736">
            <w:r w:rsidRPr="000F7736">
              <w:t>3,600</w:t>
            </w:r>
          </w:p>
        </w:tc>
      </w:tr>
      <w:tr w:rsidR="000F7736" w:rsidRPr="000F7736" w14:paraId="119A809D" w14:textId="77777777" w:rsidTr="00735CFE">
        <w:trPr>
          <w:trHeight w:val="197"/>
        </w:trPr>
        <w:tc>
          <w:tcPr>
            <w:tcW w:w="1334" w:type="dxa"/>
          </w:tcPr>
          <w:p w14:paraId="35CCE588" w14:textId="77777777" w:rsidR="000F7736" w:rsidRPr="000F7736" w:rsidRDefault="000F7736" w:rsidP="000F7736">
            <w:r w:rsidRPr="000F7736">
              <w:t>380</w:t>
            </w:r>
          </w:p>
        </w:tc>
        <w:tc>
          <w:tcPr>
            <w:tcW w:w="2858" w:type="dxa"/>
          </w:tcPr>
          <w:p w14:paraId="108E6641" w14:textId="77777777" w:rsidR="000F7736" w:rsidRPr="000F7736" w:rsidRDefault="000F7736" w:rsidP="000F7736">
            <w:r w:rsidRPr="000F7736">
              <w:t>Napa</w:t>
            </w:r>
          </w:p>
        </w:tc>
        <w:tc>
          <w:tcPr>
            <w:tcW w:w="2733" w:type="dxa"/>
          </w:tcPr>
          <w:p w14:paraId="41F588E8" w14:textId="77777777" w:rsidR="000F7736" w:rsidRPr="000F7736" w:rsidRDefault="000F7736" w:rsidP="000F7736">
            <w:r w:rsidRPr="000F7736">
              <w:t>Napa and Lake</w:t>
            </w:r>
          </w:p>
        </w:tc>
        <w:tc>
          <w:tcPr>
            <w:tcW w:w="2425" w:type="dxa"/>
          </w:tcPr>
          <w:p w14:paraId="0391F617" w14:textId="77777777" w:rsidR="000F7736" w:rsidRPr="000F7736" w:rsidRDefault="000F7736" w:rsidP="000F7736">
            <w:r w:rsidRPr="000F7736">
              <w:t>3,150</w:t>
            </w:r>
          </w:p>
        </w:tc>
      </w:tr>
      <w:tr w:rsidR="000F7736" w:rsidRPr="000F7736" w14:paraId="055E0427" w14:textId="77777777" w:rsidTr="00735CFE">
        <w:tc>
          <w:tcPr>
            <w:tcW w:w="1334" w:type="dxa"/>
          </w:tcPr>
          <w:p w14:paraId="6F44B99C" w14:textId="77777777" w:rsidR="000F7736" w:rsidRPr="000F7736" w:rsidRDefault="000F7736" w:rsidP="000F7736">
            <w:r w:rsidRPr="000F7736">
              <w:t>523</w:t>
            </w:r>
          </w:p>
        </w:tc>
        <w:tc>
          <w:tcPr>
            <w:tcW w:w="2858" w:type="dxa"/>
          </w:tcPr>
          <w:p w14:paraId="3A9186D0" w14:textId="77777777" w:rsidR="000F7736" w:rsidRPr="000F7736" w:rsidRDefault="000F7736" w:rsidP="000F7736">
            <w:r w:rsidRPr="000F7736">
              <w:t>Northeastern Sierra Nevada</w:t>
            </w:r>
          </w:p>
        </w:tc>
        <w:tc>
          <w:tcPr>
            <w:tcW w:w="2733" w:type="dxa"/>
          </w:tcPr>
          <w:p w14:paraId="7BEDBE30" w14:textId="77777777" w:rsidR="000F7736" w:rsidRPr="000F7736" w:rsidRDefault="000F7736" w:rsidP="000F7736">
            <w:r w:rsidRPr="000F7736">
              <w:t>Plumas</w:t>
            </w:r>
          </w:p>
        </w:tc>
        <w:tc>
          <w:tcPr>
            <w:tcW w:w="2425" w:type="dxa"/>
          </w:tcPr>
          <w:p w14:paraId="6AA63577" w14:textId="77777777" w:rsidR="000F7736" w:rsidRPr="000F7736" w:rsidRDefault="000F7736" w:rsidP="000F7736">
            <w:r w:rsidRPr="000F7736">
              <w:t>2,630</w:t>
            </w:r>
          </w:p>
        </w:tc>
      </w:tr>
      <w:tr w:rsidR="000F7736" w:rsidRPr="000F7736" w14:paraId="5E5CF10A" w14:textId="77777777" w:rsidTr="00735CFE">
        <w:tc>
          <w:tcPr>
            <w:tcW w:w="1334" w:type="dxa"/>
          </w:tcPr>
          <w:p w14:paraId="02D2118E" w14:textId="77777777" w:rsidR="000F7736" w:rsidRPr="000F7736" w:rsidRDefault="000F7736" w:rsidP="000F7736">
            <w:r w:rsidRPr="000F7736">
              <w:t>524</w:t>
            </w:r>
          </w:p>
        </w:tc>
        <w:tc>
          <w:tcPr>
            <w:tcW w:w="2858" w:type="dxa"/>
          </w:tcPr>
          <w:p w14:paraId="4FF82FB4" w14:textId="77777777" w:rsidR="000F7736" w:rsidRPr="000F7736" w:rsidRDefault="000F7736" w:rsidP="000F7736">
            <w:r w:rsidRPr="000F7736">
              <w:t>Northwestern Sierra Nevada</w:t>
            </w:r>
          </w:p>
        </w:tc>
        <w:tc>
          <w:tcPr>
            <w:tcW w:w="2733" w:type="dxa"/>
          </w:tcPr>
          <w:p w14:paraId="7F4AF24B" w14:textId="77777777" w:rsidR="000F7736" w:rsidRPr="000F7736" w:rsidRDefault="000F7736" w:rsidP="000F7736">
            <w:r w:rsidRPr="000F7736">
              <w:t>Butte and Plumas</w:t>
            </w:r>
          </w:p>
        </w:tc>
        <w:tc>
          <w:tcPr>
            <w:tcW w:w="2425" w:type="dxa"/>
          </w:tcPr>
          <w:p w14:paraId="793E1949" w14:textId="77777777" w:rsidR="000F7736" w:rsidRPr="000F7736" w:rsidRDefault="000F7736" w:rsidP="000F7736">
            <w:r w:rsidRPr="000F7736">
              <w:t>20,681</w:t>
            </w:r>
          </w:p>
        </w:tc>
      </w:tr>
      <w:tr w:rsidR="000F7736" w:rsidRPr="000F7736" w14:paraId="5ECCD277" w14:textId="77777777" w:rsidTr="00735CFE">
        <w:tc>
          <w:tcPr>
            <w:tcW w:w="1334" w:type="dxa"/>
          </w:tcPr>
          <w:p w14:paraId="2E97FFA6" w14:textId="77777777" w:rsidR="000F7736" w:rsidRPr="000F7736" w:rsidRDefault="000F7736" w:rsidP="000F7736">
            <w:r w:rsidRPr="000F7736">
              <w:t>525</w:t>
            </w:r>
          </w:p>
        </w:tc>
        <w:tc>
          <w:tcPr>
            <w:tcW w:w="2858" w:type="dxa"/>
          </w:tcPr>
          <w:p w14:paraId="1837562E" w14:textId="77777777" w:rsidR="000F7736" w:rsidRPr="000F7736" w:rsidRDefault="000F7736" w:rsidP="000F7736">
            <w:r w:rsidRPr="000F7736">
              <w:t>Northern Sierra Nevada</w:t>
            </w:r>
          </w:p>
        </w:tc>
        <w:tc>
          <w:tcPr>
            <w:tcW w:w="2733" w:type="dxa"/>
          </w:tcPr>
          <w:p w14:paraId="1DF1D225" w14:textId="77777777" w:rsidR="000F7736" w:rsidRPr="000F7736" w:rsidRDefault="000F7736" w:rsidP="000F7736">
            <w:r w:rsidRPr="000F7736">
              <w:t>Yuba, Nevada, Sierra, Placer</w:t>
            </w:r>
          </w:p>
        </w:tc>
        <w:tc>
          <w:tcPr>
            <w:tcW w:w="2425" w:type="dxa"/>
          </w:tcPr>
          <w:p w14:paraId="61178817" w14:textId="77777777" w:rsidR="000F7736" w:rsidRPr="000F7736" w:rsidRDefault="000F7736" w:rsidP="000F7736">
            <w:r w:rsidRPr="000F7736">
              <w:t>7,921</w:t>
            </w:r>
          </w:p>
        </w:tc>
      </w:tr>
      <w:tr w:rsidR="000F7736" w:rsidRPr="000F7736" w14:paraId="50D77F63" w14:textId="77777777" w:rsidTr="00735CFE">
        <w:tc>
          <w:tcPr>
            <w:tcW w:w="1334" w:type="dxa"/>
          </w:tcPr>
          <w:p w14:paraId="72B2FF96" w14:textId="77777777" w:rsidR="000F7736" w:rsidRPr="000F7736" w:rsidRDefault="000F7736" w:rsidP="000F7736">
            <w:r w:rsidRPr="000F7736">
              <w:t>531</w:t>
            </w:r>
          </w:p>
        </w:tc>
        <w:tc>
          <w:tcPr>
            <w:tcW w:w="2858" w:type="dxa"/>
          </w:tcPr>
          <w:p w14:paraId="58040DF5" w14:textId="77777777" w:rsidR="000F7736" w:rsidRPr="000F7736" w:rsidRDefault="000F7736" w:rsidP="000F7736">
            <w:r w:rsidRPr="000F7736">
              <w:t>Central Sierra Nevada</w:t>
            </w:r>
          </w:p>
        </w:tc>
        <w:tc>
          <w:tcPr>
            <w:tcW w:w="2733" w:type="dxa"/>
          </w:tcPr>
          <w:p w14:paraId="2E986292" w14:textId="77777777" w:rsidR="000F7736" w:rsidRPr="000F7736" w:rsidRDefault="000F7736" w:rsidP="000F7736">
            <w:r w:rsidRPr="000F7736">
              <w:t>Tuolumne, Calaveras</w:t>
            </w:r>
          </w:p>
        </w:tc>
        <w:tc>
          <w:tcPr>
            <w:tcW w:w="2425" w:type="dxa"/>
          </w:tcPr>
          <w:p w14:paraId="270A4A77" w14:textId="77777777" w:rsidR="000F7736" w:rsidRPr="000F7736" w:rsidRDefault="000F7736" w:rsidP="000F7736">
            <w:r w:rsidRPr="000F7736">
              <w:t>7,524</w:t>
            </w:r>
          </w:p>
        </w:tc>
      </w:tr>
      <w:tr w:rsidR="000F7736" w:rsidRPr="000F7736" w14:paraId="5FB336A3" w14:textId="77777777" w:rsidTr="00735CFE">
        <w:tc>
          <w:tcPr>
            <w:tcW w:w="1334" w:type="dxa"/>
          </w:tcPr>
          <w:p w14:paraId="763ECFBB" w14:textId="77777777" w:rsidR="000F7736" w:rsidRPr="000F7736" w:rsidRDefault="000F7736" w:rsidP="000F7736">
            <w:r w:rsidRPr="000F7736">
              <w:t>533</w:t>
            </w:r>
          </w:p>
        </w:tc>
        <w:tc>
          <w:tcPr>
            <w:tcW w:w="2858" w:type="dxa"/>
          </w:tcPr>
          <w:p w14:paraId="62B41FCF" w14:textId="77777777" w:rsidR="000F7736" w:rsidRPr="000F7736" w:rsidRDefault="000F7736" w:rsidP="000F7736">
            <w:r w:rsidRPr="000F7736">
              <w:t>Southern Sierra Nevada</w:t>
            </w:r>
          </w:p>
        </w:tc>
        <w:tc>
          <w:tcPr>
            <w:tcW w:w="2733" w:type="dxa"/>
          </w:tcPr>
          <w:p w14:paraId="3335312D" w14:textId="77777777" w:rsidR="000F7736" w:rsidRPr="000F7736" w:rsidRDefault="000F7736" w:rsidP="000F7736">
            <w:r w:rsidRPr="000F7736">
              <w:t>Fresno</w:t>
            </w:r>
          </w:p>
        </w:tc>
        <w:tc>
          <w:tcPr>
            <w:tcW w:w="2425" w:type="dxa"/>
          </w:tcPr>
          <w:p w14:paraId="1AAC512F" w14:textId="77777777" w:rsidR="000F7736" w:rsidRPr="000F7736" w:rsidRDefault="000F7736" w:rsidP="000F7736">
            <w:r w:rsidRPr="000F7736">
              <w:t>4,800</w:t>
            </w:r>
          </w:p>
        </w:tc>
      </w:tr>
      <w:tr w:rsidR="000F7736" w:rsidRPr="000F7736" w14:paraId="3A71EA96" w14:textId="77777777" w:rsidTr="00735CFE">
        <w:tc>
          <w:tcPr>
            <w:tcW w:w="1334" w:type="dxa"/>
          </w:tcPr>
          <w:p w14:paraId="7943FEC0" w14:textId="77777777" w:rsidR="000F7736" w:rsidRPr="000F7736" w:rsidRDefault="000F7736" w:rsidP="000F7736">
            <w:r w:rsidRPr="000F7736">
              <w:t>534</w:t>
            </w:r>
          </w:p>
        </w:tc>
        <w:tc>
          <w:tcPr>
            <w:tcW w:w="2858" w:type="dxa"/>
          </w:tcPr>
          <w:p w14:paraId="40910F66" w14:textId="77777777" w:rsidR="000F7736" w:rsidRPr="000F7736" w:rsidRDefault="000F7736" w:rsidP="000F7736">
            <w:r w:rsidRPr="000F7736">
              <w:t>Southern Sierra Nevada</w:t>
            </w:r>
          </w:p>
        </w:tc>
        <w:tc>
          <w:tcPr>
            <w:tcW w:w="2733" w:type="dxa"/>
          </w:tcPr>
          <w:p w14:paraId="18089B71" w14:textId="77777777" w:rsidR="000F7736" w:rsidRPr="000F7736" w:rsidRDefault="000F7736" w:rsidP="000F7736">
            <w:r w:rsidRPr="000F7736">
              <w:t>Tulare</w:t>
            </w:r>
          </w:p>
        </w:tc>
        <w:tc>
          <w:tcPr>
            <w:tcW w:w="2425" w:type="dxa"/>
          </w:tcPr>
          <w:p w14:paraId="1D3FFA4C" w14:textId="77777777" w:rsidR="000F7736" w:rsidRPr="000F7736" w:rsidRDefault="000F7736" w:rsidP="000F7736">
            <w:r w:rsidRPr="000F7736">
              <w:t>7,174</w:t>
            </w:r>
          </w:p>
        </w:tc>
      </w:tr>
      <w:tr w:rsidR="000F7736" w:rsidRPr="000F7736" w14:paraId="4AEE2080" w14:textId="77777777" w:rsidTr="00735CFE">
        <w:tc>
          <w:tcPr>
            <w:tcW w:w="1334" w:type="dxa"/>
          </w:tcPr>
          <w:p w14:paraId="3F414014" w14:textId="77777777" w:rsidR="000F7736" w:rsidRPr="000F7736" w:rsidRDefault="000F7736" w:rsidP="000F7736">
            <w:r w:rsidRPr="000F7736">
              <w:t>994</w:t>
            </w:r>
          </w:p>
        </w:tc>
        <w:tc>
          <w:tcPr>
            <w:tcW w:w="2858" w:type="dxa"/>
          </w:tcPr>
          <w:p w14:paraId="454412F6" w14:textId="77777777" w:rsidR="000F7736" w:rsidRPr="000F7736" w:rsidRDefault="000F7736" w:rsidP="000F7736">
            <w:r w:rsidRPr="000F7736">
              <w:t>Eastern Transverse Range</w:t>
            </w:r>
          </w:p>
        </w:tc>
        <w:tc>
          <w:tcPr>
            <w:tcW w:w="2733" w:type="dxa"/>
          </w:tcPr>
          <w:p w14:paraId="5F983D15" w14:textId="77777777" w:rsidR="000F7736" w:rsidRPr="000F7736" w:rsidRDefault="000F7736" w:rsidP="000F7736">
            <w:r w:rsidRPr="000F7736">
              <w:t>San Bernardino</w:t>
            </w:r>
          </w:p>
        </w:tc>
        <w:tc>
          <w:tcPr>
            <w:tcW w:w="2425" w:type="dxa"/>
          </w:tcPr>
          <w:p w14:paraId="6E6C4709" w14:textId="77777777" w:rsidR="000F7736" w:rsidRPr="000F7736" w:rsidRDefault="000F7736" w:rsidP="000F7736">
            <w:r w:rsidRPr="000F7736">
              <w:t>20,621</w:t>
            </w:r>
          </w:p>
        </w:tc>
      </w:tr>
    </w:tbl>
    <w:p w14:paraId="2C61AEA2" w14:textId="77777777" w:rsidR="000F7736" w:rsidRPr="000F7736" w:rsidRDefault="000F7736" w:rsidP="000F7736">
      <w:pPr>
        <w:rPr>
          <w:sz w:val="20"/>
        </w:rPr>
      </w:pPr>
      <w:r w:rsidRPr="000F7736">
        <w:rPr>
          <w:sz w:val="20"/>
        </w:rPr>
        <w:t>Figure 3. 2020 Seedling production by seed zone.</w:t>
      </w:r>
    </w:p>
    <w:p w14:paraId="3A75586A" w14:textId="77777777" w:rsidR="000F7736" w:rsidRPr="000F7736" w:rsidRDefault="000F7736" w:rsidP="000F7736"/>
    <w:p w14:paraId="7D3E3644" w14:textId="77777777" w:rsidR="000F7736" w:rsidRDefault="000F7736" w:rsidP="000F7736"/>
    <w:p w14:paraId="732D181C" w14:textId="77777777" w:rsidR="000F7736" w:rsidRDefault="000F7736" w:rsidP="000F7736"/>
    <w:p w14:paraId="42CDB300" w14:textId="56B4DA71" w:rsidR="000F7736" w:rsidRPr="000F7736" w:rsidRDefault="000F7736" w:rsidP="000F7736">
      <w:pPr>
        <w:rPr>
          <w:b/>
          <w:sz w:val="28"/>
        </w:rPr>
      </w:pPr>
      <w:r w:rsidRPr="000F7736">
        <w:rPr>
          <w:b/>
          <w:sz w:val="28"/>
        </w:rPr>
        <w:t>Proposed Pricing Structure</w:t>
      </w:r>
    </w:p>
    <w:p w14:paraId="6858CE54" w14:textId="77777777" w:rsidR="000F7736" w:rsidRPr="000F7736" w:rsidRDefault="000F7736" w:rsidP="000F7736"/>
    <w:p w14:paraId="31F069B9" w14:textId="77777777" w:rsidR="000F7736" w:rsidRPr="000F7736" w:rsidRDefault="000F7736" w:rsidP="000F7736">
      <w:pPr>
        <w:rPr>
          <w:b/>
          <w:i/>
          <w:iCs/>
        </w:rPr>
      </w:pPr>
      <w:r w:rsidRPr="000F7736">
        <w:rPr>
          <w:b/>
          <w:i/>
          <w:iCs/>
        </w:rPr>
        <w:t>Comparable facilities</w:t>
      </w:r>
    </w:p>
    <w:p w14:paraId="6F14A5B0" w14:textId="77777777" w:rsidR="000F7736" w:rsidRPr="000F7736" w:rsidRDefault="000F7736" w:rsidP="000F7736">
      <w:r w:rsidRPr="000F7736">
        <w:t xml:space="preserve">Other state- and federally-run nurseries in the western U.S. sell seedlings to the public for between $0.44 and $1.16/seedling. The least expensive seedlings are grown by the U.S. Forest Service Placerville nursery at a cost of $0.58/seedling. Although these seedlings cannot be sold directly to private landowners, they are sometimes sold to tree-planting foundations nearly at cost ($0.585 if picked up or $0.685 if shipped). Additionally, USFS partners with the El Dorado County Resource Conservation District to sell their seedlings to the general public for $0.44/seedling. </w:t>
      </w:r>
    </w:p>
    <w:p w14:paraId="062535B8" w14:textId="77777777" w:rsidR="000F7736" w:rsidRPr="000F7736" w:rsidRDefault="000F7736" w:rsidP="000F7736"/>
    <w:p w14:paraId="5C8A9328" w14:textId="77777777" w:rsidR="000F7736" w:rsidRPr="000F7736" w:rsidRDefault="000F7736" w:rsidP="000F7736">
      <w:r w:rsidRPr="000F7736">
        <w:t xml:space="preserve">Other government-run nurseries have slightly higher prices: the Webster Forest Nursery run by the Washington State Department of Natural Resources sells seedlings for between $0.60 and $1.25, depending on quantity and species. The Montana Conservation Seedling Nursery sells seedlings for $1.16/seedling while a nursery run by the University of Idaho sells for $1.00. </w:t>
      </w:r>
    </w:p>
    <w:p w14:paraId="4B3C5207" w14:textId="77777777" w:rsidR="000F7736" w:rsidRPr="000F7736" w:rsidRDefault="000F7736" w:rsidP="000F7736"/>
    <w:p w14:paraId="6423B0FB" w14:textId="77777777" w:rsidR="000F7736" w:rsidRPr="000F7736" w:rsidRDefault="000F7736" w:rsidP="000F7736">
      <w:r w:rsidRPr="000F7736">
        <w:t xml:space="preserve">Many private nurseries that primarily have a retail focus but occasionally produce contract-grown seedlings for reforestation do not have fixed prices and set cost on a case-by-case basis depending on seedling quantity, species, and container size. Based on discussions with small nurseries as well as nursery customers, it seems most agreements end up costing between $0.60 and $1.10 on a per seedling basis. </w:t>
      </w:r>
    </w:p>
    <w:p w14:paraId="4849703D" w14:textId="77777777" w:rsidR="000F7736" w:rsidRPr="000F7736" w:rsidRDefault="000F7736" w:rsidP="000F7736"/>
    <w:p w14:paraId="4463B2F2" w14:textId="7DEE8E1E" w:rsidR="000F7736" w:rsidRPr="000F7736" w:rsidRDefault="000F7736" w:rsidP="000F7736">
      <w:pPr>
        <w:rPr>
          <w:b/>
          <w:i/>
          <w:iCs/>
        </w:rPr>
      </w:pPr>
      <w:r w:rsidRPr="000F7736">
        <w:rPr>
          <w:b/>
          <w:i/>
          <w:iCs/>
        </w:rPr>
        <w:t>Projected 2021 production costs for L</w:t>
      </w:r>
      <w:r>
        <w:rPr>
          <w:b/>
          <w:i/>
          <w:iCs/>
        </w:rPr>
        <w:t xml:space="preserve">. </w:t>
      </w:r>
      <w:r w:rsidRPr="000F7736">
        <w:rPr>
          <w:b/>
          <w:i/>
          <w:iCs/>
        </w:rPr>
        <w:t>A</w:t>
      </w:r>
      <w:r>
        <w:rPr>
          <w:b/>
          <w:i/>
          <w:iCs/>
        </w:rPr>
        <w:t>.</w:t>
      </w:r>
      <w:r w:rsidRPr="000F7736">
        <w:rPr>
          <w:b/>
          <w:i/>
          <w:iCs/>
        </w:rPr>
        <w:t xml:space="preserve"> Moran Reforestation Center</w:t>
      </w:r>
    </w:p>
    <w:p w14:paraId="3FD4BF23" w14:textId="77777777" w:rsidR="000F7736" w:rsidRPr="000F7736" w:rsidRDefault="000F7736" w:rsidP="000F7736">
      <w:pPr>
        <w:rPr>
          <w:i/>
          <w:iCs/>
        </w:rPr>
      </w:pPr>
    </w:p>
    <w:p w14:paraId="5FB577A8" w14:textId="77777777" w:rsidR="000F7736" w:rsidRPr="000F7736" w:rsidRDefault="000F7736" w:rsidP="000F7736">
      <w:r w:rsidRPr="000F7736">
        <w:t>Target net production: 185,200 seedlings</w:t>
      </w:r>
    </w:p>
    <w:p w14:paraId="4FBC4EFB" w14:textId="77777777" w:rsidR="000F7736" w:rsidRPr="000F7736" w:rsidRDefault="000F7736" w:rsidP="000F7736">
      <w:r w:rsidRPr="000F7736">
        <w:t>Target gross production: 240,500 seedlings</w:t>
      </w:r>
    </w:p>
    <w:p w14:paraId="4073E6CD" w14:textId="3CC8154B" w:rsidR="000F7736" w:rsidRPr="000F7736" w:rsidRDefault="000F7736" w:rsidP="000F7736"/>
    <w:p w14:paraId="396A2868" w14:textId="77777777" w:rsidR="000F7736" w:rsidRPr="000F7736" w:rsidRDefault="000F7736" w:rsidP="000F7736"/>
    <w:tbl>
      <w:tblPr>
        <w:tblStyle w:val="TableGrid"/>
        <w:tblW w:w="0" w:type="auto"/>
        <w:tblLook w:val="04A0" w:firstRow="1" w:lastRow="0" w:firstColumn="1" w:lastColumn="0" w:noHBand="0" w:noVBand="1"/>
        <w:tblCaption w:val="table 4"/>
      </w:tblPr>
      <w:tblGrid>
        <w:gridCol w:w="2312"/>
        <w:gridCol w:w="522"/>
        <w:gridCol w:w="1351"/>
        <w:gridCol w:w="539"/>
        <w:gridCol w:w="886"/>
        <w:gridCol w:w="1423"/>
        <w:gridCol w:w="2317"/>
      </w:tblGrid>
      <w:tr w:rsidR="000F7736" w:rsidRPr="000F7736" w14:paraId="45DAD8F6" w14:textId="77777777" w:rsidTr="00DC5D70">
        <w:trPr>
          <w:tblHeader/>
        </w:trPr>
        <w:tc>
          <w:tcPr>
            <w:tcW w:w="2312" w:type="dxa"/>
          </w:tcPr>
          <w:p w14:paraId="389CE0C5" w14:textId="2DF789DE" w:rsidR="000F7736" w:rsidRPr="000F7736" w:rsidRDefault="000F7736" w:rsidP="000F7736">
            <w:bookmarkStart w:id="3" w:name="_GoBack" w:colFirst="0" w:colLast="4"/>
            <w:r w:rsidRPr="00637E44">
              <w:t>Material</w:t>
            </w:r>
          </w:p>
        </w:tc>
        <w:tc>
          <w:tcPr>
            <w:tcW w:w="2412" w:type="dxa"/>
            <w:gridSpan w:val="3"/>
          </w:tcPr>
          <w:p w14:paraId="7567A7E0" w14:textId="5F5300EC" w:rsidR="000F7736" w:rsidRPr="000F7736" w:rsidRDefault="000F7736" w:rsidP="000F7736">
            <w:r w:rsidRPr="00637E44">
              <w:t>Quantity Required</w:t>
            </w:r>
          </w:p>
        </w:tc>
        <w:tc>
          <w:tcPr>
            <w:tcW w:w="2309" w:type="dxa"/>
            <w:gridSpan w:val="2"/>
          </w:tcPr>
          <w:p w14:paraId="24A03310" w14:textId="42A877D3" w:rsidR="000F7736" w:rsidRPr="000F7736" w:rsidRDefault="000F7736" w:rsidP="000F7736">
            <w:r w:rsidRPr="00637E44">
              <w:t>Cost Per Unit</w:t>
            </w:r>
          </w:p>
        </w:tc>
        <w:tc>
          <w:tcPr>
            <w:tcW w:w="2317" w:type="dxa"/>
          </w:tcPr>
          <w:p w14:paraId="30D3BBDD" w14:textId="13D01398" w:rsidR="000F7736" w:rsidRPr="000F7736" w:rsidRDefault="000F7736" w:rsidP="000F7736">
            <w:r w:rsidRPr="00637E44">
              <w:t>Total Cost</w:t>
            </w:r>
          </w:p>
        </w:tc>
      </w:tr>
      <w:bookmarkEnd w:id="3"/>
      <w:tr w:rsidR="000F7736" w:rsidRPr="000F7736" w14:paraId="0F02E830" w14:textId="77777777" w:rsidTr="000F7736">
        <w:tc>
          <w:tcPr>
            <w:tcW w:w="2312" w:type="dxa"/>
          </w:tcPr>
          <w:p w14:paraId="77C240BD" w14:textId="163EC7D0" w:rsidR="000F7736" w:rsidRPr="000F7736" w:rsidRDefault="000F7736" w:rsidP="000F7736">
            <w:r w:rsidRPr="00637E44">
              <w:t>Sytro-91 growing blocks</w:t>
            </w:r>
          </w:p>
        </w:tc>
        <w:tc>
          <w:tcPr>
            <w:tcW w:w="2412" w:type="dxa"/>
            <w:gridSpan w:val="3"/>
          </w:tcPr>
          <w:p w14:paraId="723A77A9" w14:textId="44F782B2" w:rsidR="000F7736" w:rsidRPr="000F7736" w:rsidRDefault="000F7736" w:rsidP="000F7736">
            <w:r w:rsidRPr="00637E44">
              <w:t>2670 styroblocks</w:t>
            </w:r>
          </w:p>
        </w:tc>
        <w:tc>
          <w:tcPr>
            <w:tcW w:w="2309" w:type="dxa"/>
            <w:gridSpan w:val="2"/>
          </w:tcPr>
          <w:p w14:paraId="480D88E7" w14:textId="345EA122" w:rsidR="000F7736" w:rsidRPr="000F7736" w:rsidRDefault="000F7736" w:rsidP="000F7736">
            <w:r w:rsidRPr="00637E44">
              <w:t>$2.52</w:t>
            </w:r>
          </w:p>
        </w:tc>
        <w:tc>
          <w:tcPr>
            <w:tcW w:w="2317" w:type="dxa"/>
          </w:tcPr>
          <w:p w14:paraId="4A49DF28" w14:textId="30EE67AB" w:rsidR="000F7736" w:rsidRPr="000F7736" w:rsidRDefault="000F7736" w:rsidP="000F7736">
            <w:r w:rsidRPr="00637E44">
              <w:t>$6731</w:t>
            </w:r>
          </w:p>
        </w:tc>
      </w:tr>
      <w:tr w:rsidR="000F7736" w:rsidRPr="000F7736" w14:paraId="71FE60D3" w14:textId="77777777" w:rsidTr="000F7736">
        <w:tc>
          <w:tcPr>
            <w:tcW w:w="2312" w:type="dxa"/>
          </w:tcPr>
          <w:p w14:paraId="7D922711" w14:textId="73980BD5" w:rsidR="000F7736" w:rsidRPr="000F7736" w:rsidRDefault="000F7736" w:rsidP="000F7736">
            <w:r w:rsidRPr="00637E44">
              <w:t>Growing Media</w:t>
            </w:r>
          </w:p>
        </w:tc>
        <w:tc>
          <w:tcPr>
            <w:tcW w:w="2412" w:type="dxa"/>
            <w:gridSpan w:val="3"/>
          </w:tcPr>
          <w:p w14:paraId="6AF1A8C4" w14:textId="58C596B1" w:rsidR="000F7736" w:rsidRPr="000F7736" w:rsidRDefault="000F7736" w:rsidP="000F7736">
            <w:r w:rsidRPr="00637E44">
              <w:t>45 cubic yards</w:t>
            </w:r>
          </w:p>
        </w:tc>
        <w:tc>
          <w:tcPr>
            <w:tcW w:w="2309" w:type="dxa"/>
            <w:gridSpan w:val="2"/>
          </w:tcPr>
          <w:p w14:paraId="53E44F21" w14:textId="4DD43900" w:rsidR="000F7736" w:rsidRPr="000F7736" w:rsidRDefault="000F7736" w:rsidP="000F7736">
            <w:r w:rsidRPr="00637E44">
              <w:t>$137</w:t>
            </w:r>
          </w:p>
        </w:tc>
        <w:tc>
          <w:tcPr>
            <w:tcW w:w="2317" w:type="dxa"/>
          </w:tcPr>
          <w:p w14:paraId="78BC7C6D" w14:textId="2708C82F" w:rsidR="000F7736" w:rsidRPr="000F7736" w:rsidRDefault="000F7736" w:rsidP="000F7736">
            <w:r w:rsidRPr="00637E44">
              <w:t>$6165</w:t>
            </w:r>
          </w:p>
        </w:tc>
      </w:tr>
      <w:tr w:rsidR="000F7736" w:rsidRPr="000F7736" w14:paraId="1F61A4F3" w14:textId="77777777" w:rsidTr="000F7736">
        <w:tc>
          <w:tcPr>
            <w:tcW w:w="2312" w:type="dxa"/>
          </w:tcPr>
          <w:p w14:paraId="46D568FA" w14:textId="3EA3A09F" w:rsidR="000F7736" w:rsidRPr="000F7736" w:rsidRDefault="000F7736" w:rsidP="000F7736">
            <w:r w:rsidRPr="00637E44">
              <w:t>Seed</w:t>
            </w:r>
          </w:p>
        </w:tc>
        <w:tc>
          <w:tcPr>
            <w:tcW w:w="2412" w:type="dxa"/>
            <w:gridSpan w:val="3"/>
          </w:tcPr>
          <w:p w14:paraId="04290F13" w14:textId="42701921" w:rsidR="000F7736" w:rsidRPr="000F7736" w:rsidRDefault="000F7736" w:rsidP="000F7736">
            <w:r w:rsidRPr="00637E44">
              <w:t>24lbs</w:t>
            </w:r>
          </w:p>
        </w:tc>
        <w:tc>
          <w:tcPr>
            <w:tcW w:w="2309" w:type="dxa"/>
            <w:gridSpan w:val="2"/>
          </w:tcPr>
          <w:p w14:paraId="3633ED9F" w14:textId="284C560B" w:rsidR="000F7736" w:rsidRPr="000F7736" w:rsidRDefault="000F7736" w:rsidP="000F7736">
            <w:r w:rsidRPr="00637E44">
              <w:t>$207</w:t>
            </w:r>
          </w:p>
        </w:tc>
        <w:tc>
          <w:tcPr>
            <w:tcW w:w="2317" w:type="dxa"/>
          </w:tcPr>
          <w:p w14:paraId="012FBC91" w14:textId="3C90D0C1" w:rsidR="000F7736" w:rsidRPr="000F7736" w:rsidRDefault="000F7736" w:rsidP="000F7736">
            <w:r w:rsidRPr="00637E44">
              <w:t>$4968</w:t>
            </w:r>
          </w:p>
        </w:tc>
      </w:tr>
      <w:tr w:rsidR="000F7736" w:rsidRPr="000F7736" w14:paraId="50546800" w14:textId="77777777" w:rsidTr="000F7736">
        <w:tc>
          <w:tcPr>
            <w:tcW w:w="2312" w:type="dxa"/>
          </w:tcPr>
          <w:p w14:paraId="0001C072" w14:textId="54DF17CD" w:rsidR="000F7736" w:rsidRPr="000F7736" w:rsidRDefault="000F7736" w:rsidP="000F7736">
            <w:r w:rsidRPr="00637E44">
              <w:t>Fertilizers</w:t>
            </w:r>
          </w:p>
        </w:tc>
        <w:tc>
          <w:tcPr>
            <w:tcW w:w="2412" w:type="dxa"/>
            <w:gridSpan w:val="3"/>
          </w:tcPr>
          <w:p w14:paraId="5E407CF0" w14:textId="74326B69" w:rsidR="000F7736" w:rsidRPr="000F7736" w:rsidRDefault="000F7736" w:rsidP="000F7736">
            <w:r w:rsidRPr="00637E44">
              <w:t>60 25-lb bags</w:t>
            </w:r>
          </w:p>
        </w:tc>
        <w:tc>
          <w:tcPr>
            <w:tcW w:w="2309" w:type="dxa"/>
            <w:gridSpan w:val="2"/>
          </w:tcPr>
          <w:p w14:paraId="6B05E920" w14:textId="7EF0FA91" w:rsidR="000F7736" w:rsidRPr="000F7736" w:rsidRDefault="000F7736" w:rsidP="000F7736">
            <w:r w:rsidRPr="00637E44">
              <w:t>$30</w:t>
            </w:r>
          </w:p>
        </w:tc>
        <w:tc>
          <w:tcPr>
            <w:tcW w:w="2317" w:type="dxa"/>
          </w:tcPr>
          <w:p w14:paraId="5CCD7027" w14:textId="3579A4BA" w:rsidR="000F7736" w:rsidRPr="000F7736" w:rsidRDefault="000F7736" w:rsidP="000F7736">
            <w:r w:rsidRPr="00637E44">
              <w:t>$1800</w:t>
            </w:r>
          </w:p>
        </w:tc>
      </w:tr>
      <w:tr w:rsidR="000F7736" w:rsidRPr="000F7736" w14:paraId="72C5115E" w14:textId="77777777" w:rsidTr="000F7736">
        <w:tc>
          <w:tcPr>
            <w:tcW w:w="2312" w:type="dxa"/>
          </w:tcPr>
          <w:p w14:paraId="5126AE0D" w14:textId="2C57F6C8" w:rsidR="000F7736" w:rsidRPr="000F7736" w:rsidRDefault="000F7736" w:rsidP="000F7736">
            <w:r w:rsidRPr="00637E44">
              <w:t>Water</w:t>
            </w:r>
          </w:p>
        </w:tc>
        <w:tc>
          <w:tcPr>
            <w:tcW w:w="2412" w:type="dxa"/>
            <w:gridSpan w:val="3"/>
          </w:tcPr>
          <w:p w14:paraId="53F011B2" w14:textId="1E9F9FCC" w:rsidR="000F7736" w:rsidRPr="000F7736" w:rsidRDefault="000F7736" w:rsidP="000F7736">
            <w:r w:rsidRPr="00637E44">
              <w:t>7,000 CCF</w:t>
            </w:r>
          </w:p>
        </w:tc>
        <w:tc>
          <w:tcPr>
            <w:tcW w:w="2309" w:type="dxa"/>
            <w:gridSpan w:val="2"/>
          </w:tcPr>
          <w:p w14:paraId="3BE3C5DC" w14:textId="6C40239C" w:rsidR="000F7736" w:rsidRPr="000F7736" w:rsidRDefault="000F7736" w:rsidP="000F7736">
            <w:r w:rsidRPr="00637E44">
              <w:t>$4.88</w:t>
            </w:r>
          </w:p>
        </w:tc>
        <w:tc>
          <w:tcPr>
            <w:tcW w:w="2317" w:type="dxa"/>
          </w:tcPr>
          <w:p w14:paraId="2C2A6DDA" w14:textId="4E7C704D" w:rsidR="000F7736" w:rsidRPr="000F7736" w:rsidRDefault="000F7736" w:rsidP="000F7736">
            <w:r w:rsidRPr="00637E44">
              <w:t>$34,160</w:t>
            </w:r>
          </w:p>
        </w:tc>
      </w:tr>
      <w:tr w:rsidR="000F7736" w:rsidRPr="000F7736" w14:paraId="138AC762" w14:textId="77777777" w:rsidTr="000F7736">
        <w:tc>
          <w:tcPr>
            <w:tcW w:w="2312" w:type="dxa"/>
          </w:tcPr>
          <w:p w14:paraId="0D3846CD" w14:textId="1F436E11" w:rsidR="000F7736" w:rsidRPr="000F7736" w:rsidRDefault="000F7736" w:rsidP="000F7736">
            <w:r w:rsidRPr="00637E44">
              <w:t>Power</w:t>
            </w:r>
          </w:p>
        </w:tc>
        <w:tc>
          <w:tcPr>
            <w:tcW w:w="7038" w:type="dxa"/>
            <w:gridSpan w:val="6"/>
          </w:tcPr>
          <w:p w14:paraId="4300DF7E" w14:textId="1A114F41" w:rsidR="000F7736" w:rsidRPr="000F7736" w:rsidRDefault="000F7736" w:rsidP="000F7736">
            <w:r w:rsidRPr="00637E44">
              <w:t>$2800 for gas and electric</w:t>
            </w:r>
          </w:p>
        </w:tc>
      </w:tr>
      <w:tr w:rsidR="000F7736" w:rsidRPr="000F7736" w14:paraId="5B3C4C68" w14:textId="77777777" w:rsidTr="000F7736">
        <w:tc>
          <w:tcPr>
            <w:tcW w:w="2312" w:type="dxa"/>
          </w:tcPr>
          <w:p w14:paraId="4E0FAF93" w14:textId="7A682FAD" w:rsidR="000F7736" w:rsidRPr="000F7736" w:rsidRDefault="000F7736" w:rsidP="000F7736">
            <w:r w:rsidRPr="00637E44">
              <w:t>Pesticides</w:t>
            </w:r>
          </w:p>
        </w:tc>
        <w:tc>
          <w:tcPr>
            <w:tcW w:w="2412" w:type="dxa"/>
            <w:gridSpan w:val="3"/>
          </w:tcPr>
          <w:p w14:paraId="4ACF845A" w14:textId="53D8A763" w:rsidR="000F7736" w:rsidRPr="000F7736" w:rsidRDefault="000F7736" w:rsidP="000F7736">
            <w:r w:rsidRPr="00637E44">
              <w:t>20 applications</w:t>
            </w:r>
          </w:p>
        </w:tc>
        <w:tc>
          <w:tcPr>
            <w:tcW w:w="2309" w:type="dxa"/>
            <w:gridSpan w:val="2"/>
          </w:tcPr>
          <w:p w14:paraId="16154465" w14:textId="729A36FF" w:rsidR="000F7736" w:rsidRPr="000F7736" w:rsidRDefault="000F7736" w:rsidP="000F7736">
            <w:r w:rsidRPr="00637E44">
              <w:t>$50</w:t>
            </w:r>
          </w:p>
        </w:tc>
        <w:tc>
          <w:tcPr>
            <w:tcW w:w="2317" w:type="dxa"/>
          </w:tcPr>
          <w:p w14:paraId="48ED860C" w14:textId="3273D3D2" w:rsidR="000F7736" w:rsidRPr="000F7736" w:rsidRDefault="000F7736" w:rsidP="000F7736">
            <w:r w:rsidRPr="00637E44">
              <w:t>$1000</w:t>
            </w:r>
          </w:p>
        </w:tc>
      </w:tr>
      <w:tr w:rsidR="000F7736" w:rsidRPr="000F7736" w14:paraId="662A2DF3" w14:textId="77777777" w:rsidTr="000F7736">
        <w:tc>
          <w:tcPr>
            <w:tcW w:w="2312" w:type="dxa"/>
          </w:tcPr>
          <w:p w14:paraId="334C07A6" w14:textId="1A0F642C" w:rsidR="000F7736" w:rsidRPr="000F7736" w:rsidRDefault="000F7736" w:rsidP="000F7736">
            <w:r w:rsidRPr="00637E44">
              <w:t>Shipping Supplies</w:t>
            </w:r>
          </w:p>
        </w:tc>
        <w:tc>
          <w:tcPr>
            <w:tcW w:w="2412" w:type="dxa"/>
            <w:gridSpan w:val="3"/>
          </w:tcPr>
          <w:p w14:paraId="06CE4B4B" w14:textId="4053FF33" w:rsidR="000F7736" w:rsidRPr="000F7736" w:rsidRDefault="000F7736" w:rsidP="000F7736">
            <w:r w:rsidRPr="00637E44">
              <w:t>730 boxes</w:t>
            </w:r>
          </w:p>
        </w:tc>
        <w:tc>
          <w:tcPr>
            <w:tcW w:w="2309" w:type="dxa"/>
            <w:gridSpan w:val="2"/>
          </w:tcPr>
          <w:p w14:paraId="332B2382" w14:textId="415491E2" w:rsidR="000F7736" w:rsidRPr="000F7736" w:rsidRDefault="000F7736" w:rsidP="000F7736">
            <w:r w:rsidRPr="00637E44">
              <w:t>$9</w:t>
            </w:r>
          </w:p>
        </w:tc>
        <w:tc>
          <w:tcPr>
            <w:tcW w:w="2317" w:type="dxa"/>
          </w:tcPr>
          <w:p w14:paraId="18FE12F6" w14:textId="52DA8DD4" w:rsidR="000F7736" w:rsidRPr="000F7736" w:rsidRDefault="000F7736" w:rsidP="000F7736">
            <w:r w:rsidRPr="00637E44">
              <w:t>$6570</w:t>
            </w:r>
          </w:p>
        </w:tc>
      </w:tr>
      <w:tr w:rsidR="000F7736" w:rsidRPr="000F7736" w14:paraId="43046586" w14:textId="77777777" w:rsidTr="000F7736">
        <w:tc>
          <w:tcPr>
            <w:tcW w:w="7033" w:type="dxa"/>
            <w:gridSpan w:val="6"/>
          </w:tcPr>
          <w:p w14:paraId="7B31A129" w14:textId="007F44CD" w:rsidR="000F7736" w:rsidRPr="00B63CE9" w:rsidRDefault="000F7736" w:rsidP="000F7736">
            <w:pPr>
              <w:rPr>
                <w:b/>
                <w:i/>
              </w:rPr>
            </w:pPr>
            <w:r w:rsidRPr="00B63CE9">
              <w:rPr>
                <w:b/>
                <w:i/>
              </w:rPr>
              <w:t xml:space="preserve">                                      </w:t>
            </w:r>
            <w:r w:rsidR="00B63CE9">
              <w:rPr>
                <w:b/>
                <w:i/>
              </w:rPr>
              <w:t xml:space="preserve">                            </w:t>
            </w:r>
            <w:r w:rsidRPr="00B63CE9">
              <w:rPr>
                <w:b/>
                <w:i/>
              </w:rPr>
              <w:t>Total Materials Cost:</w:t>
            </w:r>
          </w:p>
        </w:tc>
        <w:tc>
          <w:tcPr>
            <w:tcW w:w="2317" w:type="dxa"/>
          </w:tcPr>
          <w:p w14:paraId="3A009296" w14:textId="48CFF5CA" w:rsidR="000F7736" w:rsidRPr="00B63CE9" w:rsidRDefault="000F7736" w:rsidP="000F7736">
            <w:pPr>
              <w:rPr>
                <w:b/>
                <w:i/>
              </w:rPr>
            </w:pPr>
            <w:r w:rsidRPr="00B63CE9">
              <w:rPr>
                <w:b/>
                <w:i/>
              </w:rPr>
              <w:t>$64,194</w:t>
            </w:r>
          </w:p>
        </w:tc>
      </w:tr>
      <w:tr w:rsidR="000F7736" w:rsidRPr="000F7736" w14:paraId="29D65D61" w14:textId="77777777" w:rsidTr="000F7736">
        <w:tc>
          <w:tcPr>
            <w:tcW w:w="2834" w:type="dxa"/>
            <w:gridSpan w:val="2"/>
          </w:tcPr>
          <w:p w14:paraId="1AB7A823" w14:textId="5F8A707B" w:rsidR="000F7736" w:rsidRPr="000F7736" w:rsidRDefault="000F7736" w:rsidP="000F7736">
            <w:r w:rsidRPr="00637E44">
              <w:t>Staff Type</w:t>
            </w:r>
          </w:p>
        </w:tc>
        <w:tc>
          <w:tcPr>
            <w:tcW w:w="1351" w:type="dxa"/>
          </w:tcPr>
          <w:p w14:paraId="12BA141E" w14:textId="6330F71C" w:rsidR="000F7736" w:rsidRPr="000F7736" w:rsidRDefault="000F7736" w:rsidP="000F7736">
            <w:r w:rsidRPr="00637E44">
              <w:t>Pay Rate</w:t>
            </w:r>
          </w:p>
        </w:tc>
        <w:tc>
          <w:tcPr>
            <w:tcW w:w="1425" w:type="dxa"/>
            <w:gridSpan w:val="2"/>
          </w:tcPr>
          <w:p w14:paraId="07A28EBB" w14:textId="48AB5192" w:rsidR="000F7736" w:rsidRPr="000F7736" w:rsidRDefault="000F7736" w:rsidP="000F7736">
            <w:r w:rsidRPr="00637E44">
              <w:t>Time Worked</w:t>
            </w:r>
          </w:p>
        </w:tc>
        <w:tc>
          <w:tcPr>
            <w:tcW w:w="1423" w:type="dxa"/>
          </w:tcPr>
          <w:p w14:paraId="024A4885" w14:textId="198C13D3" w:rsidR="000F7736" w:rsidRPr="000F7736" w:rsidRDefault="000F7736" w:rsidP="000F7736">
            <w:r w:rsidRPr="00637E44">
              <w:t>Percent Time</w:t>
            </w:r>
          </w:p>
        </w:tc>
        <w:tc>
          <w:tcPr>
            <w:tcW w:w="2317" w:type="dxa"/>
          </w:tcPr>
          <w:p w14:paraId="76CCCCB6" w14:textId="77777777" w:rsidR="000F7736" w:rsidRPr="000F7736" w:rsidRDefault="000F7736" w:rsidP="000F7736">
            <w:r w:rsidRPr="000F7736">
              <w:t>Total Cost</w:t>
            </w:r>
          </w:p>
        </w:tc>
      </w:tr>
      <w:tr w:rsidR="000F7736" w:rsidRPr="000F7736" w14:paraId="77AFDB94" w14:textId="77777777" w:rsidTr="000F7736">
        <w:tc>
          <w:tcPr>
            <w:tcW w:w="2834" w:type="dxa"/>
            <w:gridSpan w:val="2"/>
          </w:tcPr>
          <w:p w14:paraId="1FC91500" w14:textId="33E67DD6" w:rsidR="000F7736" w:rsidRPr="000F7736" w:rsidRDefault="000F7736" w:rsidP="000F7736">
            <w:r w:rsidRPr="00637E44">
              <w:t>Senior Environmental Scientist</w:t>
            </w:r>
          </w:p>
        </w:tc>
        <w:tc>
          <w:tcPr>
            <w:tcW w:w="1351" w:type="dxa"/>
          </w:tcPr>
          <w:p w14:paraId="003774C6" w14:textId="4E7B9922" w:rsidR="000F7736" w:rsidRPr="000F7736" w:rsidRDefault="000F7736" w:rsidP="000F7736">
            <w:r w:rsidRPr="00637E44">
              <w:t>$6,816/mo</w:t>
            </w:r>
          </w:p>
        </w:tc>
        <w:tc>
          <w:tcPr>
            <w:tcW w:w="1425" w:type="dxa"/>
            <w:gridSpan w:val="2"/>
          </w:tcPr>
          <w:p w14:paraId="6A878640" w14:textId="2245A04D" w:rsidR="000F7736" w:rsidRPr="000F7736" w:rsidRDefault="000F7736" w:rsidP="000F7736">
            <w:r w:rsidRPr="00637E44">
              <w:t>12 months</w:t>
            </w:r>
          </w:p>
        </w:tc>
        <w:tc>
          <w:tcPr>
            <w:tcW w:w="1423" w:type="dxa"/>
          </w:tcPr>
          <w:p w14:paraId="6C36398A" w14:textId="3D1DC6EE" w:rsidR="000F7736" w:rsidRPr="000F7736" w:rsidRDefault="000F7736" w:rsidP="000F7736">
            <w:r w:rsidRPr="00637E44">
              <w:t>30%</w:t>
            </w:r>
          </w:p>
        </w:tc>
        <w:tc>
          <w:tcPr>
            <w:tcW w:w="2317" w:type="dxa"/>
          </w:tcPr>
          <w:p w14:paraId="774A47C2" w14:textId="77777777" w:rsidR="000F7736" w:rsidRPr="000F7736" w:rsidRDefault="000F7736" w:rsidP="000F7736">
            <w:r w:rsidRPr="000F7736">
              <w:t>$24,537</w:t>
            </w:r>
          </w:p>
        </w:tc>
      </w:tr>
      <w:tr w:rsidR="000F7736" w:rsidRPr="000F7736" w14:paraId="6C453B30" w14:textId="77777777" w:rsidTr="000F7736">
        <w:tc>
          <w:tcPr>
            <w:tcW w:w="2834" w:type="dxa"/>
            <w:gridSpan w:val="2"/>
          </w:tcPr>
          <w:p w14:paraId="3087B195" w14:textId="616E7F2D" w:rsidR="000F7736" w:rsidRPr="000F7736" w:rsidRDefault="000F7736" w:rsidP="000F7736">
            <w:r w:rsidRPr="00637E44">
              <w:t>Environmental Scientist</w:t>
            </w:r>
          </w:p>
        </w:tc>
        <w:tc>
          <w:tcPr>
            <w:tcW w:w="1351" w:type="dxa"/>
          </w:tcPr>
          <w:p w14:paraId="60B45B7F" w14:textId="31D3493E" w:rsidR="000F7736" w:rsidRPr="000F7736" w:rsidRDefault="000F7736" w:rsidP="000F7736">
            <w:r w:rsidRPr="00637E44">
              <w:t>$4,680/mo</w:t>
            </w:r>
          </w:p>
        </w:tc>
        <w:tc>
          <w:tcPr>
            <w:tcW w:w="1425" w:type="dxa"/>
            <w:gridSpan w:val="2"/>
          </w:tcPr>
          <w:p w14:paraId="02270416" w14:textId="4E86639C" w:rsidR="000F7736" w:rsidRPr="000F7736" w:rsidRDefault="000F7736" w:rsidP="000F7736">
            <w:r w:rsidRPr="00637E44">
              <w:t>12 months</w:t>
            </w:r>
          </w:p>
        </w:tc>
        <w:tc>
          <w:tcPr>
            <w:tcW w:w="1423" w:type="dxa"/>
          </w:tcPr>
          <w:p w14:paraId="2DD47784" w14:textId="171816E1" w:rsidR="000F7736" w:rsidRPr="000F7736" w:rsidRDefault="000F7736" w:rsidP="000F7736">
            <w:r w:rsidRPr="00637E44">
              <w:t>40%</w:t>
            </w:r>
          </w:p>
        </w:tc>
        <w:tc>
          <w:tcPr>
            <w:tcW w:w="2317" w:type="dxa"/>
          </w:tcPr>
          <w:p w14:paraId="4AF9CD49" w14:textId="77777777" w:rsidR="000F7736" w:rsidRPr="000F7736" w:rsidRDefault="000F7736" w:rsidP="000F7736">
            <w:r w:rsidRPr="000F7736">
              <w:t>$22,464</w:t>
            </w:r>
          </w:p>
        </w:tc>
      </w:tr>
      <w:tr w:rsidR="000F7736" w:rsidRPr="000F7736" w14:paraId="72EB42A2" w14:textId="77777777" w:rsidTr="000F7736">
        <w:tc>
          <w:tcPr>
            <w:tcW w:w="2834" w:type="dxa"/>
            <w:gridSpan w:val="2"/>
          </w:tcPr>
          <w:p w14:paraId="36FCA031" w14:textId="3681CC0B" w:rsidR="000F7736" w:rsidRPr="000F7736" w:rsidRDefault="000F7736" w:rsidP="000F7736">
            <w:r w:rsidRPr="00637E44">
              <w:lastRenderedPageBreak/>
              <w:t>Forestry Aide</w:t>
            </w:r>
          </w:p>
        </w:tc>
        <w:tc>
          <w:tcPr>
            <w:tcW w:w="1351" w:type="dxa"/>
          </w:tcPr>
          <w:p w14:paraId="149A461B" w14:textId="6B4BA157" w:rsidR="000F7736" w:rsidRPr="000F7736" w:rsidRDefault="000F7736" w:rsidP="000F7736">
            <w:r w:rsidRPr="00637E44">
              <w:t>$3,020/mo</w:t>
            </w:r>
          </w:p>
        </w:tc>
        <w:tc>
          <w:tcPr>
            <w:tcW w:w="1425" w:type="dxa"/>
            <w:gridSpan w:val="2"/>
          </w:tcPr>
          <w:p w14:paraId="7D80262A" w14:textId="031BD1A0" w:rsidR="000F7736" w:rsidRPr="000F7736" w:rsidRDefault="000F7736" w:rsidP="000F7736">
            <w:r w:rsidRPr="00637E44">
              <w:t>9 months</w:t>
            </w:r>
          </w:p>
        </w:tc>
        <w:tc>
          <w:tcPr>
            <w:tcW w:w="1423" w:type="dxa"/>
          </w:tcPr>
          <w:p w14:paraId="3845077A" w14:textId="508B4BAA" w:rsidR="000F7736" w:rsidRPr="000F7736" w:rsidRDefault="000F7736" w:rsidP="000F7736">
            <w:r w:rsidRPr="00637E44">
              <w:t>50%</w:t>
            </w:r>
          </w:p>
        </w:tc>
        <w:tc>
          <w:tcPr>
            <w:tcW w:w="2317" w:type="dxa"/>
          </w:tcPr>
          <w:p w14:paraId="4B3CB4A7" w14:textId="77777777" w:rsidR="000F7736" w:rsidRPr="000F7736" w:rsidRDefault="000F7736" w:rsidP="000F7736">
            <w:r w:rsidRPr="000F7736">
              <w:t>$13,590</w:t>
            </w:r>
          </w:p>
        </w:tc>
      </w:tr>
      <w:tr w:rsidR="000F7736" w:rsidRPr="000F7736" w14:paraId="3D9A6C73" w14:textId="77777777" w:rsidTr="000F7736">
        <w:tc>
          <w:tcPr>
            <w:tcW w:w="2834" w:type="dxa"/>
            <w:gridSpan w:val="2"/>
          </w:tcPr>
          <w:p w14:paraId="46682422" w14:textId="327D797A" w:rsidR="000F7736" w:rsidRPr="000F7736" w:rsidRDefault="000F7736" w:rsidP="000F7736">
            <w:r w:rsidRPr="00637E44">
              <w:t>Inmate Crew</w:t>
            </w:r>
          </w:p>
        </w:tc>
        <w:tc>
          <w:tcPr>
            <w:tcW w:w="1351" w:type="dxa"/>
          </w:tcPr>
          <w:p w14:paraId="243EF9C1" w14:textId="219AD954" w:rsidR="000F7736" w:rsidRPr="000F7736" w:rsidRDefault="000F7736" w:rsidP="000F7736">
            <w:r w:rsidRPr="00637E44">
              <w:t>$285/day</w:t>
            </w:r>
          </w:p>
        </w:tc>
        <w:tc>
          <w:tcPr>
            <w:tcW w:w="1425" w:type="dxa"/>
            <w:gridSpan w:val="2"/>
          </w:tcPr>
          <w:p w14:paraId="1F002CF1" w14:textId="527FEB3C" w:rsidR="000F7736" w:rsidRPr="000F7736" w:rsidRDefault="000F7736" w:rsidP="000F7736">
            <w:r w:rsidRPr="00637E44">
              <w:t>24 days</w:t>
            </w:r>
          </w:p>
        </w:tc>
        <w:tc>
          <w:tcPr>
            <w:tcW w:w="1423" w:type="dxa"/>
          </w:tcPr>
          <w:p w14:paraId="64C8EC7F" w14:textId="3CBBD393" w:rsidR="000F7736" w:rsidRPr="000F7736" w:rsidRDefault="000F7736" w:rsidP="000F7736">
            <w:r w:rsidRPr="00637E44">
              <w:t>100%</w:t>
            </w:r>
          </w:p>
        </w:tc>
        <w:tc>
          <w:tcPr>
            <w:tcW w:w="2317" w:type="dxa"/>
          </w:tcPr>
          <w:p w14:paraId="0B25A0E7" w14:textId="77777777" w:rsidR="000F7736" w:rsidRPr="000F7736" w:rsidRDefault="000F7736" w:rsidP="000F7736">
            <w:r w:rsidRPr="000F7736">
              <w:t>$6840</w:t>
            </w:r>
          </w:p>
        </w:tc>
      </w:tr>
      <w:tr w:rsidR="000F7736" w:rsidRPr="000F7736" w14:paraId="0B5AAD32" w14:textId="77777777" w:rsidTr="000F7736">
        <w:tc>
          <w:tcPr>
            <w:tcW w:w="7033" w:type="dxa"/>
            <w:gridSpan w:val="6"/>
          </w:tcPr>
          <w:p w14:paraId="683F49E6" w14:textId="31BE8FFD" w:rsidR="000F7736" w:rsidRPr="00B63CE9" w:rsidRDefault="000F7736" w:rsidP="000F7736">
            <w:pPr>
              <w:rPr>
                <w:b/>
                <w:i/>
              </w:rPr>
            </w:pPr>
            <w:r w:rsidRPr="00B63CE9">
              <w:rPr>
                <w:b/>
                <w:i/>
              </w:rPr>
              <w:t xml:space="preserve">                                </w:t>
            </w:r>
            <w:r w:rsidR="00B63CE9">
              <w:rPr>
                <w:b/>
                <w:i/>
              </w:rPr>
              <w:t xml:space="preserve">                             </w:t>
            </w:r>
            <w:r w:rsidRPr="00B63CE9">
              <w:rPr>
                <w:b/>
                <w:i/>
              </w:rPr>
              <w:t xml:space="preserve">  Estimated Labor Cost:</w:t>
            </w:r>
          </w:p>
        </w:tc>
        <w:tc>
          <w:tcPr>
            <w:tcW w:w="2317" w:type="dxa"/>
          </w:tcPr>
          <w:p w14:paraId="5F02D964" w14:textId="5FEB0F3E" w:rsidR="000F7736" w:rsidRPr="00B63CE9" w:rsidRDefault="000F7736" w:rsidP="000F7736">
            <w:pPr>
              <w:rPr>
                <w:b/>
                <w:i/>
              </w:rPr>
            </w:pPr>
            <w:r w:rsidRPr="00B63CE9">
              <w:rPr>
                <w:b/>
                <w:i/>
              </w:rPr>
              <w:t>$67,431</w:t>
            </w:r>
          </w:p>
        </w:tc>
      </w:tr>
      <w:tr w:rsidR="000F7736" w:rsidRPr="00B63CE9" w14:paraId="5629A0EA" w14:textId="77777777" w:rsidTr="000F7736">
        <w:tc>
          <w:tcPr>
            <w:tcW w:w="7033" w:type="dxa"/>
            <w:gridSpan w:val="6"/>
          </w:tcPr>
          <w:p w14:paraId="30B2FECD" w14:textId="7C78FCD8" w:rsidR="000F7736" w:rsidRPr="00B63CE9" w:rsidRDefault="000F7736" w:rsidP="000F7736">
            <w:r w:rsidRPr="00B63CE9">
              <w:t xml:space="preserve">                                        </w:t>
            </w:r>
            <w:r w:rsidR="00B63CE9" w:rsidRPr="00B63CE9">
              <w:t xml:space="preserve">                     Actual </w:t>
            </w:r>
            <w:r w:rsidRPr="00B63CE9">
              <w:t>Cost Per Seedling:</w:t>
            </w:r>
          </w:p>
        </w:tc>
        <w:tc>
          <w:tcPr>
            <w:tcW w:w="2317" w:type="dxa"/>
          </w:tcPr>
          <w:p w14:paraId="5DE5DBAF" w14:textId="13597412" w:rsidR="000F7736" w:rsidRPr="00B63CE9" w:rsidRDefault="000F7736" w:rsidP="000F7736">
            <w:r w:rsidRPr="00B63CE9">
              <w:t>$0.72/seedling</w:t>
            </w:r>
          </w:p>
        </w:tc>
      </w:tr>
    </w:tbl>
    <w:p w14:paraId="160F10C5" w14:textId="77777777" w:rsidR="000F7736" w:rsidRPr="00B63CE9" w:rsidRDefault="000F7736" w:rsidP="000F7736"/>
    <w:p w14:paraId="5B030E49" w14:textId="77777777" w:rsidR="000F7736" w:rsidRPr="000F7736" w:rsidRDefault="000F7736" w:rsidP="000F7736"/>
    <w:p w14:paraId="1F47F39E" w14:textId="77777777" w:rsidR="000F7736" w:rsidRPr="00543839" w:rsidRDefault="000F7736" w:rsidP="000F7736">
      <w:pPr>
        <w:rPr>
          <w:b/>
          <w:i/>
          <w:iCs/>
        </w:rPr>
      </w:pPr>
      <w:r w:rsidRPr="00543839">
        <w:rPr>
          <w:b/>
          <w:i/>
          <w:iCs/>
        </w:rPr>
        <w:t>Extrapolating based on past LAMRC prices</w:t>
      </w:r>
    </w:p>
    <w:p w14:paraId="2659B9DC" w14:textId="77777777" w:rsidR="000F7736" w:rsidRPr="000F7736" w:rsidRDefault="000F7736" w:rsidP="000F7736">
      <w:r w:rsidRPr="000F7736">
        <w:t>Because the nursery is still not at full production levels and some costs are difficult to disaggregate from the rest of LAMRC’s operating costs, it is difficult to accurately assess the nursery’s current production costs. However, when the nursery was fully operational prior to being shut down, seedling costs were tied to production costs. In 2003, LAMRC sold seedlings for $0.42/seedling, or $0.61/seedling in today’s dollars.</w:t>
      </w:r>
    </w:p>
    <w:p w14:paraId="5B3BEF02" w14:textId="77777777" w:rsidR="000F7736" w:rsidRPr="000F7736" w:rsidRDefault="000F7736" w:rsidP="000F7736"/>
    <w:p w14:paraId="254D0183" w14:textId="77777777" w:rsidR="000F7736" w:rsidRPr="00543839" w:rsidRDefault="000F7736" w:rsidP="000F7736">
      <w:pPr>
        <w:rPr>
          <w:b/>
          <w:i/>
          <w:iCs/>
        </w:rPr>
      </w:pPr>
      <w:r w:rsidRPr="00543839">
        <w:rPr>
          <w:b/>
          <w:i/>
          <w:iCs/>
        </w:rPr>
        <w:t>Proposed pricing structure</w:t>
      </w:r>
    </w:p>
    <w:p w14:paraId="163FB3A4" w14:textId="2EDA69DE" w:rsidR="000F7736" w:rsidRPr="000F7736" w:rsidRDefault="000F7736" w:rsidP="000F7736">
      <w:r w:rsidRPr="000F7736">
        <w:t xml:space="preserve">Considering past LAMRC pricing as well as the prices set by other government run nurseries, </w:t>
      </w:r>
      <w:r w:rsidR="00543839">
        <w:t xml:space="preserve">and the infinite unknowns related to future sowing requests and challenges, </w:t>
      </w:r>
      <w:r w:rsidRPr="000F7736">
        <w:t>we propose the following pricing structure for L</w:t>
      </w:r>
      <w:r w:rsidR="00B63CE9">
        <w:t>.</w:t>
      </w:r>
      <w:r w:rsidRPr="000F7736">
        <w:t>A</w:t>
      </w:r>
      <w:r w:rsidR="00B63CE9">
        <w:t>.</w:t>
      </w:r>
      <w:r w:rsidRPr="000F7736">
        <w:t xml:space="preserve"> Moran Reforestation Center seedlings, to go into effect for the 2022 growing season:</w:t>
      </w:r>
    </w:p>
    <w:p w14:paraId="24DB6522" w14:textId="77777777" w:rsidR="000F7736" w:rsidRPr="000F7736" w:rsidRDefault="000F7736" w:rsidP="000F7736"/>
    <w:p w14:paraId="0FC398EE" w14:textId="52AAC102" w:rsidR="000F7736" w:rsidRPr="000F7736" w:rsidRDefault="000F7736" w:rsidP="000F7736">
      <w:r w:rsidRPr="000F7736">
        <w:t xml:space="preserve">Contract orders (1,000 seedling/species minimum): </w:t>
      </w:r>
      <w:r w:rsidR="00050DF9">
        <w:tab/>
      </w:r>
      <w:r w:rsidR="00050DF9">
        <w:tab/>
      </w:r>
      <w:r w:rsidR="00050DF9">
        <w:tab/>
        <w:t>$0.5</w:t>
      </w:r>
      <w:r w:rsidRPr="000F7736">
        <w:t>0/seedling</w:t>
      </w:r>
    </w:p>
    <w:p w14:paraId="5DCE9230" w14:textId="6B3A11EE" w:rsidR="000F7736" w:rsidRPr="000F7736" w:rsidRDefault="000F7736" w:rsidP="000F7736">
      <w:r w:rsidRPr="000F7736">
        <w:t xml:space="preserve">Speculative orders, 1-499 seedlings: </w:t>
      </w:r>
      <w:r w:rsidR="00050DF9">
        <w:tab/>
      </w:r>
      <w:r w:rsidR="00050DF9">
        <w:tab/>
      </w:r>
      <w:r w:rsidR="00050DF9">
        <w:tab/>
      </w:r>
      <w:r w:rsidR="00050DF9">
        <w:tab/>
      </w:r>
      <w:r w:rsidR="00050DF9">
        <w:tab/>
        <w:t>$0.6</w:t>
      </w:r>
      <w:r w:rsidRPr="000F7736">
        <w:t>0/seedling</w:t>
      </w:r>
    </w:p>
    <w:p w14:paraId="58CB3053" w14:textId="48550D02" w:rsidR="000F7736" w:rsidRPr="000F7736" w:rsidRDefault="000F7736" w:rsidP="000F7736">
      <w:r w:rsidRPr="000F7736">
        <w:t xml:space="preserve">Speculative orders, 500+ seedlings: </w:t>
      </w:r>
      <w:r w:rsidR="00050DF9">
        <w:tab/>
      </w:r>
      <w:r w:rsidR="00050DF9">
        <w:tab/>
      </w:r>
      <w:r w:rsidR="00050DF9">
        <w:tab/>
      </w:r>
      <w:r w:rsidR="00050DF9">
        <w:tab/>
      </w:r>
      <w:r w:rsidR="00050DF9">
        <w:tab/>
        <w:t>$0.5</w:t>
      </w:r>
      <w:r w:rsidRPr="000F7736">
        <w:t>5/seedling</w:t>
      </w:r>
    </w:p>
    <w:p w14:paraId="07DC888E" w14:textId="210D1F39" w:rsidR="00C05C0E" w:rsidRPr="00203D20" w:rsidRDefault="00C05C0E" w:rsidP="000F7736"/>
    <w:sectPr w:rsidR="00C05C0E" w:rsidRPr="00203D20" w:rsidSect="000F773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23540" w14:textId="77777777" w:rsidR="00A65900" w:rsidRDefault="00A65900">
      <w:r>
        <w:separator/>
      </w:r>
    </w:p>
  </w:endnote>
  <w:endnote w:type="continuationSeparator" w:id="0">
    <w:p w14:paraId="676095F8" w14:textId="77777777" w:rsidR="00A65900" w:rsidRDefault="00A6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8F2C2" w14:textId="3995C84E" w:rsidR="00D11B30" w:rsidRDefault="00B75336" w:rsidP="00ED0662">
    <w:pPr>
      <w:pStyle w:val="Footer"/>
      <w:jc w:val="center"/>
      <w:rPr>
        <w:rFonts w:eastAsia="Calibri"/>
        <w:i/>
        <w:sz w:val="16"/>
      </w:rPr>
    </w:pPr>
    <w:r w:rsidRPr="00B75336">
      <w:rPr>
        <w:rFonts w:eastAsia="Calibri"/>
        <w:i/>
        <w:sz w:val="16"/>
      </w:rPr>
      <w:t>“The Department of Forestry and Fire Protection serves and safeguards the people and protects the property and resources of California.”</w:t>
    </w:r>
  </w:p>
  <w:p w14:paraId="4232382B" w14:textId="7DDFC3F9" w:rsidR="008D431E" w:rsidRPr="008D431E" w:rsidRDefault="008D431E" w:rsidP="00ED0662">
    <w:pPr>
      <w:pStyle w:val="Footer"/>
      <w:jc w:val="center"/>
      <w:rPr>
        <w:rFonts w:eastAsia="Calibri"/>
        <w:sz w:val="16"/>
      </w:rPr>
    </w:pPr>
    <w:r>
      <w:rPr>
        <w:rFonts w:eastAsia="Calibri"/>
        <w:i/>
        <w:sz w:val="16"/>
      </w:rPr>
      <w:tab/>
    </w:r>
    <w:r>
      <w:rPr>
        <w:rFonts w:eastAsia="Calibri"/>
        <w:i/>
        <w:sz w:val="16"/>
      </w:rPr>
      <w:tab/>
    </w:r>
    <w:r w:rsidRPr="008D431E">
      <w:rPr>
        <w:rFonts w:eastAsia="Calibri"/>
        <w:sz w:val="16"/>
      </w:rPr>
      <w:t>MGMT 3(a)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C7551" w14:textId="77777777" w:rsidR="00A65900" w:rsidRDefault="00A65900">
      <w:r>
        <w:separator/>
      </w:r>
    </w:p>
  </w:footnote>
  <w:footnote w:type="continuationSeparator" w:id="0">
    <w:p w14:paraId="770B0578" w14:textId="77777777" w:rsidR="00A65900" w:rsidRDefault="00A65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35BFA"/>
    <w:multiLevelType w:val="hybridMultilevel"/>
    <w:tmpl w:val="345045C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84F74C8"/>
    <w:multiLevelType w:val="hybridMultilevel"/>
    <w:tmpl w:val="DA3603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ghnm8itm6yahYNOjKoq4dnMmYrOuraqMtySLag6vKE4WBIRCbiI24BYc/Y/GAb2zLkwJiMWQE8J/uOrbjL8tw==" w:salt="tvjHvwiPWXs4hNTECXVulQ=="/>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276"/>
    <w:rsid w:val="000017C5"/>
    <w:rsid w:val="00001D8A"/>
    <w:rsid w:val="00004627"/>
    <w:rsid w:val="000075E1"/>
    <w:rsid w:val="00016AAC"/>
    <w:rsid w:val="00021217"/>
    <w:rsid w:val="00031D01"/>
    <w:rsid w:val="00031D55"/>
    <w:rsid w:val="000373F3"/>
    <w:rsid w:val="00037B3D"/>
    <w:rsid w:val="00047579"/>
    <w:rsid w:val="00050DF9"/>
    <w:rsid w:val="00055E4D"/>
    <w:rsid w:val="000605D5"/>
    <w:rsid w:val="000723BF"/>
    <w:rsid w:val="000757D3"/>
    <w:rsid w:val="00080F3F"/>
    <w:rsid w:val="00082CAD"/>
    <w:rsid w:val="00092543"/>
    <w:rsid w:val="00093582"/>
    <w:rsid w:val="000A3E4D"/>
    <w:rsid w:val="000A565B"/>
    <w:rsid w:val="000B2D4C"/>
    <w:rsid w:val="000C58E8"/>
    <w:rsid w:val="000C7496"/>
    <w:rsid w:val="000D7515"/>
    <w:rsid w:val="000F7736"/>
    <w:rsid w:val="001122ED"/>
    <w:rsid w:val="00146829"/>
    <w:rsid w:val="0015624E"/>
    <w:rsid w:val="001656E3"/>
    <w:rsid w:val="00182DE3"/>
    <w:rsid w:val="00182ED4"/>
    <w:rsid w:val="001A1D62"/>
    <w:rsid w:val="001A27BE"/>
    <w:rsid w:val="001A5543"/>
    <w:rsid w:val="001B2050"/>
    <w:rsid w:val="001B770B"/>
    <w:rsid w:val="001B7DE7"/>
    <w:rsid w:val="001C7E36"/>
    <w:rsid w:val="001D5AA3"/>
    <w:rsid w:val="001F2116"/>
    <w:rsid w:val="00203D20"/>
    <w:rsid w:val="002053B3"/>
    <w:rsid w:val="0020698F"/>
    <w:rsid w:val="00212A27"/>
    <w:rsid w:val="00220CF0"/>
    <w:rsid w:val="002353DF"/>
    <w:rsid w:val="00236FB2"/>
    <w:rsid w:val="0025028F"/>
    <w:rsid w:val="00253758"/>
    <w:rsid w:val="00272EB6"/>
    <w:rsid w:val="002A0F83"/>
    <w:rsid w:val="002A464B"/>
    <w:rsid w:val="002B047D"/>
    <w:rsid w:val="002B106F"/>
    <w:rsid w:val="002C103D"/>
    <w:rsid w:val="002C1571"/>
    <w:rsid w:val="0031158D"/>
    <w:rsid w:val="00316BB6"/>
    <w:rsid w:val="00331CF1"/>
    <w:rsid w:val="0033203A"/>
    <w:rsid w:val="0033251E"/>
    <w:rsid w:val="00333855"/>
    <w:rsid w:val="00334E10"/>
    <w:rsid w:val="003352F3"/>
    <w:rsid w:val="00340C14"/>
    <w:rsid w:val="00342EA5"/>
    <w:rsid w:val="00347031"/>
    <w:rsid w:val="0035128E"/>
    <w:rsid w:val="00357874"/>
    <w:rsid w:val="00364AEE"/>
    <w:rsid w:val="0037518A"/>
    <w:rsid w:val="003A5512"/>
    <w:rsid w:val="003A74C2"/>
    <w:rsid w:val="003A7A09"/>
    <w:rsid w:val="003B2DB1"/>
    <w:rsid w:val="003D51B4"/>
    <w:rsid w:val="003D59EA"/>
    <w:rsid w:val="003F153A"/>
    <w:rsid w:val="00405659"/>
    <w:rsid w:val="004107C0"/>
    <w:rsid w:val="004131F1"/>
    <w:rsid w:val="00430573"/>
    <w:rsid w:val="00440C26"/>
    <w:rsid w:val="00442962"/>
    <w:rsid w:val="004577B9"/>
    <w:rsid w:val="0046017F"/>
    <w:rsid w:val="00472A19"/>
    <w:rsid w:val="004A4FE8"/>
    <w:rsid w:val="004C3C8D"/>
    <w:rsid w:val="004C4A39"/>
    <w:rsid w:val="004D47E9"/>
    <w:rsid w:val="004E1D7B"/>
    <w:rsid w:val="004E2C9C"/>
    <w:rsid w:val="004E74E0"/>
    <w:rsid w:val="004F7C0C"/>
    <w:rsid w:val="00504233"/>
    <w:rsid w:val="005103F6"/>
    <w:rsid w:val="00510CAE"/>
    <w:rsid w:val="00511871"/>
    <w:rsid w:val="00511D34"/>
    <w:rsid w:val="00511F2F"/>
    <w:rsid w:val="005123F5"/>
    <w:rsid w:val="00522C91"/>
    <w:rsid w:val="0052309D"/>
    <w:rsid w:val="005237B4"/>
    <w:rsid w:val="00531E17"/>
    <w:rsid w:val="005400A1"/>
    <w:rsid w:val="00543839"/>
    <w:rsid w:val="00547984"/>
    <w:rsid w:val="00554766"/>
    <w:rsid w:val="00562AE3"/>
    <w:rsid w:val="00571AF2"/>
    <w:rsid w:val="00576773"/>
    <w:rsid w:val="0058528F"/>
    <w:rsid w:val="00586583"/>
    <w:rsid w:val="005A4B39"/>
    <w:rsid w:val="005A795E"/>
    <w:rsid w:val="005B5FB2"/>
    <w:rsid w:val="005C09C6"/>
    <w:rsid w:val="005C38EA"/>
    <w:rsid w:val="005C6CB8"/>
    <w:rsid w:val="005D0011"/>
    <w:rsid w:val="005D34DE"/>
    <w:rsid w:val="005D3DC0"/>
    <w:rsid w:val="005D7ADD"/>
    <w:rsid w:val="005E3624"/>
    <w:rsid w:val="005F082B"/>
    <w:rsid w:val="006019F2"/>
    <w:rsid w:val="00602B80"/>
    <w:rsid w:val="006128A4"/>
    <w:rsid w:val="00613921"/>
    <w:rsid w:val="0061403F"/>
    <w:rsid w:val="00614BC4"/>
    <w:rsid w:val="00623CA0"/>
    <w:rsid w:val="0062751B"/>
    <w:rsid w:val="00630257"/>
    <w:rsid w:val="00631CC6"/>
    <w:rsid w:val="006419A7"/>
    <w:rsid w:val="00647F81"/>
    <w:rsid w:val="00652CF7"/>
    <w:rsid w:val="0065702D"/>
    <w:rsid w:val="00670EF1"/>
    <w:rsid w:val="00682920"/>
    <w:rsid w:val="006847D3"/>
    <w:rsid w:val="00684ACA"/>
    <w:rsid w:val="00694D4B"/>
    <w:rsid w:val="006A4F82"/>
    <w:rsid w:val="006B3887"/>
    <w:rsid w:val="006B68F6"/>
    <w:rsid w:val="006C0E3C"/>
    <w:rsid w:val="006D24F1"/>
    <w:rsid w:val="006D350D"/>
    <w:rsid w:val="006D7111"/>
    <w:rsid w:val="00701A31"/>
    <w:rsid w:val="007028F7"/>
    <w:rsid w:val="00704E1F"/>
    <w:rsid w:val="00706D5A"/>
    <w:rsid w:val="007125FE"/>
    <w:rsid w:val="00715239"/>
    <w:rsid w:val="00717576"/>
    <w:rsid w:val="0071792B"/>
    <w:rsid w:val="007312A4"/>
    <w:rsid w:val="007320A6"/>
    <w:rsid w:val="00736E14"/>
    <w:rsid w:val="00743429"/>
    <w:rsid w:val="00747933"/>
    <w:rsid w:val="00751CD2"/>
    <w:rsid w:val="00753B2F"/>
    <w:rsid w:val="00781DCB"/>
    <w:rsid w:val="0079665D"/>
    <w:rsid w:val="007A544F"/>
    <w:rsid w:val="007A58AB"/>
    <w:rsid w:val="007C20AB"/>
    <w:rsid w:val="007D4F12"/>
    <w:rsid w:val="007E6D88"/>
    <w:rsid w:val="007F03D3"/>
    <w:rsid w:val="00805A66"/>
    <w:rsid w:val="00816664"/>
    <w:rsid w:val="0083631B"/>
    <w:rsid w:val="00854E53"/>
    <w:rsid w:val="00856003"/>
    <w:rsid w:val="008807A4"/>
    <w:rsid w:val="00886820"/>
    <w:rsid w:val="00887BFA"/>
    <w:rsid w:val="00893968"/>
    <w:rsid w:val="008A2986"/>
    <w:rsid w:val="008A75FC"/>
    <w:rsid w:val="008B1F9F"/>
    <w:rsid w:val="008C5D2A"/>
    <w:rsid w:val="008C6396"/>
    <w:rsid w:val="008D431E"/>
    <w:rsid w:val="008D6267"/>
    <w:rsid w:val="008F4C4C"/>
    <w:rsid w:val="00901AB0"/>
    <w:rsid w:val="009026E3"/>
    <w:rsid w:val="00912674"/>
    <w:rsid w:val="009259FD"/>
    <w:rsid w:val="00925A87"/>
    <w:rsid w:val="0092730C"/>
    <w:rsid w:val="00930650"/>
    <w:rsid w:val="009316A6"/>
    <w:rsid w:val="00935B67"/>
    <w:rsid w:val="00942FA4"/>
    <w:rsid w:val="00946C4D"/>
    <w:rsid w:val="009615E2"/>
    <w:rsid w:val="0096440B"/>
    <w:rsid w:val="0096767C"/>
    <w:rsid w:val="00975D0E"/>
    <w:rsid w:val="00992C5F"/>
    <w:rsid w:val="009D4A69"/>
    <w:rsid w:val="009E3A86"/>
    <w:rsid w:val="009F1B45"/>
    <w:rsid w:val="009F2509"/>
    <w:rsid w:val="009F2D8E"/>
    <w:rsid w:val="009F473F"/>
    <w:rsid w:val="009F4C73"/>
    <w:rsid w:val="00A11AC7"/>
    <w:rsid w:val="00A125D6"/>
    <w:rsid w:val="00A2223B"/>
    <w:rsid w:val="00A2278E"/>
    <w:rsid w:val="00A32E88"/>
    <w:rsid w:val="00A41C7A"/>
    <w:rsid w:val="00A4648F"/>
    <w:rsid w:val="00A472EC"/>
    <w:rsid w:val="00A513FE"/>
    <w:rsid w:val="00A51610"/>
    <w:rsid w:val="00A531B2"/>
    <w:rsid w:val="00A65900"/>
    <w:rsid w:val="00A80277"/>
    <w:rsid w:val="00A82E66"/>
    <w:rsid w:val="00AA26F5"/>
    <w:rsid w:val="00AB6389"/>
    <w:rsid w:val="00AB785A"/>
    <w:rsid w:val="00AC4AEF"/>
    <w:rsid w:val="00AE0972"/>
    <w:rsid w:val="00AF0984"/>
    <w:rsid w:val="00AF1C66"/>
    <w:rsid w:val="00AF1DD8"/>
    <w:rsid w:val="00AF4DF4"/>
    <w:rsid w:val="00B13378"/>
    <w:rsid w:val="00B1768A"/>
    <w:rsid w:val="00B20328"/>
    <w:rsid w:val="00B30706"/>
    <w:rsid w:val="00B33AA8"/>
    <w:rsid w:val="00B36A72"/>
    <w:rsid w:val="00B57873"/>
    <w:rsid w:val="00B62CB5"/>
    <w:rsid w:val="00B63CE9"/>
    <w:rsid w:val="00B644A1"/>
    <w:rsid w:val="00B67608"/>
    <w:rsid w:val="00B75336"/>
    <w:rsid w:val="00B82B6D"/>
    <w:rsid w:val="00BA376E"/>
    <w:rsid w:val="00BA6C17"/>
    <w:rsid w:val="00BD2F19"/>
    <w:rsid w:val="00BD41A2"/>
    <w:rsid w:val="00BE2EF0"/>
    <w:rsid w:val="00BE374F"/>
    <w:rsid w:val="00BF19EF"/>
    <w:rsid w:val="00C0372B"/>
    <w:rsid w:val="00C05C0E"/>
    <w:rsid w:val="00C15FC8"/>
    <w:rsid w:val="00C32B90"/>
    <w:rsid w:val="00C54A99"/>
    <w:rsid w:val="00C619F4"/>
    <w:rsid w:val="00C62276"/>
    <w:rsid w:val="00C67178"/>
    <w:rsid w:val="00C74AE5"/>
    <w:rsid w:val="00C74BD6"/>
    <w:rsid w:val="00C82E83"/>
    <w:rsid w:val="00C92398"/>
    <w:rsid w:val="00C950B9"/>
    <w:rsid w:val="00CA07B9"/>
    <w:rsid w:val="00CA7A25"/>
    <w:rsid w:val="00CB2507"/>
    <w:rsid w:val="00CB3056"/>
    <w:rsid w:val="00CB30E5"/>
    <w:rsid w:val="00CB5A82"/>
    <w:rsid w:val="00CB6A58"/>
    <w:rsid w:val="00CB6AEB"/>
    <w:rsid w:val="00CB7363"/>
    <w:rsid w:val="00CC0768"/>
    <w:rsid w:val="00CC19CF"/>
    <w:rsid w:val="00CD0415"/>
    <w:rsid w:val="00CD1F68"/>
    <w:rsid w:val="00CD2B08"/>
    <w:rsid w:val="00D10444"/>
    <w:rsid w:val="00D11B30"/>
    <w:rsid w:val="00D14AB7"/>
    <w:rsid w:val="00D16B79"/>
    <w:rsid w:val="00D2245B"/>
    <w:rsid w:val="00D27D55"/>
    <w:rsid w:val="00D3325E"/>
    <w:rsid w:val="00D55AB8"/>
    <w:rsid w:val="00D644FF"/>
    <w:rsid w:val="00D64752"/>
    <w:rsid w:val="00D65AB4"/>
    <w:rsid w:val="00D717C8"/>
    <w:rsid w:val="00D74ACC"/>
    <w:rsid w:val="00D83A85"/>
    <w:rsid w:val="00DA7C2B"/>
    <w:rsid w:val="00DB1FC5"/>
    <w:rsid w:val="00DB583F"/>
    <w:rsid w:val="00DC5D70"/>
    <w:rsid w:val="00DE1863"/>
    <w:rsid w:val="00DF0995"/>
    <w:rsid w:val="00E138B0"/>
    <w:rsid w:val="00E177D1"/>
    <w:rsid w:val="00E2058B"/>
    <w:rsid w:val="00E35A9E"/>
    <w:rsid w:val="00E36864"/>
    <w:rsid w:val="00E43703"/>
    <w:rsid w:val="00E4747F"/>
    <w:rsid w:val="00E7123D"/>
    <w:rsid w:val="00E76386"/>
    <w:rsid w:val="00E84EBE"/>
    <w:rsid w:val="00E9402A"/>
    <w:rsid w:val="00EA1C22"/>
    <w:rsid w:val="00EB218C"/>
    <w:rsid w:val="00EB455D"/>
    <w:rsid w:val="00EB6A3B"/>
    <w:rsid w:val="00EC31D7"/>
    <w:rsid w:val="00ED0662"/>
    <w:rsid w:val="00ED4AEA"/>
    <w:rsid w:val="00ED7FFB"/>
    <w:rsid w:val="00EF4946"/>
    <w:rsid w:val="00F30735"/>
    <w:rsid w:val="00F32DB5"/>
    <w:rsid w:val="00F57AE7"/>
    <w:rsid w:val="00F8297C"/>
    <w:rsid w:val="00F90953"/>
    <w:rsid w:val="00F95C55"/>
    <w:rsid w:val="00FB1F30"/>
    <w:rsid w:val="00FB5DCD"/>
    <w:rsid w:val="00FC589B"/>
    <w:rsid w:val="00FE44F1"/>
    <w:rsid w:val="00FE7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14:docId w14:val="1F77153F"/>
  <w15:docId w15:val="{9CA79BD9-D482-4951-AEF3-A4007847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A0F83"/>
    <w:pPr>
      <w:spacing w:line="240" w:lineRule="atLeast"/>
    </w:pPr>
    <w:rPr>
      <w:rFonts w:ascii="Arial"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856003"/>
    <w:rPr>
      <w:rFonts w:cs="Times New Roman"/>
      <w:sz w:val="16"/>
    </w:rPr>
  </w:style>
  <w:style w:type="paragraph" w:styleId="CommentText">
    <w:name w:val="annotation text"/>
    <w:basedOn w:val="Normal"/>
    <w:link w:val="CommentTextChar"/>
    <w:uiPriority w:val="99"/>
    <w:semiHidden/>
    <w:rsid w:val="00856003"/>
    <w:rPr>
      <w:sz w:val="20"/>
    </w:rPr>
  </w:style>
  <w:style w:type="character" w:customStyle="1" w:styleId="CommentTextChar">
    <w:name w:val="Comment Text Char"/>
    <w:basedOn w:val="DefaultParagraphFont"/>
    <w:link w:val="CommentText"/>
    <w:uiPriority w:val="99"/>
    <w:semiHidden/>
    <w:locked/>
    <w:rsid w:val="00A41C7A"/>
    <w:rPr>
      <w:rFonts w:ascii="Arial" w:hAnsi="Arial" w:cs="Times New Roman"/>
    </w:rPr>
  </w:style>
  <w:style w:type="paragraph" w:styleId="Header">
    <w:name w:val="header"/>
    <w:basedOn w:val="Normal"/>
    <w:link w:val="HeaderChar"/>
    <w:uiPriority w:val="99"/>
    <w:rsid w:val="00856003"/>
    <w:pPr>
      <w:tabs>
        <w:tab w:val="center" w:pos="4320"/>
        <w:tab w:val="right" w:pos="8640"/>
      </w:tabs>
    </w:pPr>
  </w:style>
  <w:style w:type="character" w:customStyle="1" w:styleId="HeaderChar">
    <w:name w:val="Header Char"/>
    <w:basedOn w:val="DefaultParagraphFont"/>
    <w:link w:val="Header"/>
    <w:uiPriority w:val="99"/>
    <w:semiHidden/>
    <w:locked/>
    <w:rsid w:val="00A41C7A"/>
    <w:rPr>
      <w:rFonts w:ascii="Arial" w:hAnsi="Arial" w:cs="Times New Roman"/>
      <w:sz w:val="24"/>
    </w:rPr>
  </w:style>
  <w:style w:type="paragraph" w:styleId="Footer">
    <w:name w:val="footer"/>
    <w:basedOn w:val="Normal"/>
    <w:link w:val="FooterChar"/>
    <w:uiPriority w:val="99"/>
    <w:rsid w:val="00856003"/>
    <w:pPr>
      <w:tabs>
        <w:tab w:val="center" w:pos="4320"/>
        <w:tab w:val="right" w:pos="8640"/>
      </w:tabs>
    </w:pPr>
  </w:style>
  <w:style w:type="character" w:customStyle="1" w:styleId="FooterChar">
    <w:name w:val="Footer Char"/>
    <w:basedOn w:val="DefaultParagraphFont"/>
    <w:link w:val="Footer"/>
    <w:uiPriority w:val="99"/>
    <w:locked/>
    <w:rsid w:val="00A41C7A"/>
    <w:rPr>
      <w:rFonts w:ascii="Arial" w:hAnsi="Arial" w:cs="Times New Roman"/>
      <w:sz w:val="24"/>
    </w:rPr>
  </w:style>
  <w:style w:type="paragraph" w:customStyle="1" w:styleId="ReturnAddress">
    <w:name w:val="Return Address"/>
    <w:basedOn w:val="Normal"/>
    <w:uiPriority w:val="99"/>
    <w:rsid w:val="004D47E9"/>
    <w:pPr>
      <w:keepLines/>
      <w:framePr w:w="5040" w:hSpace="187" w:vSpace="187" w:wrap="notBeside" w:vAnchor="page" w:hAnchor="margin" w:y="966" w:anchorLock="1"/>
      <w:spacing w:line="200" w:lineRule="atLeast"/>
    </w:pPr>
    <w:rPr>
      <w:spacing w:val="-2"/>
      <w:sz w:val="16"/>
    </w:rPr>
  </w:style>
  <w:style w:type="character" w:styleId="Hyperlink">
    <w:name w:val="Hyperlink"/>
    <w:basedOn w:val="DefaultParagraphFont"/>
    <w:uiPriority w:val="99"/>
    <w:rsid w:val="00816664"/>
    <w:rPr>
      <w:rFonts w:cs="Times New Roman"/>
      <w:color w:val="0000FF"/>
      <w:u w:val="single"/>
    </w:rPr>
  </w:style>
  <w:style w:type="paragraph" w:styleId="BalloonText">
    <w:name w:val="Balloon Text"/>
    <w:basedOn w:val="Normal"/>
    <w:link w:val="BalloonTextChar"/>
    <w:uiPriority w:val="99"/>
    <w:semiHidden/>
    <w:rsid w:val="0089396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1C7A"/>
    <w:rPr>
      <w:rFonts w:cs="Times New Roman"/>
      <w:sz w:val="2"/>
    </w:rPr>
  </w:style>
  <w:style w:type="character" w:styleId="FollowedHyperlink">
    <w:name w:val="FollowedHyperlink"/>
    <w:basedOn w:val="DefaultParagraphFont"/>
    <w:uiPriority w:val="99"/>
    <w:semiHidden/>
    <w:unhideWhenUsed/>
    <w:rsid w:val="00531E17"/>
    <w:rPr>
      <w:color w:val="800080" w:themeColor="followedHyperlink"/>
      <w:u w:val="single"/>
    </w:rPr>
  </w:style>
  <w:style w:type="paragraph" w:styleId="ListParagraph">
    <w:name w:val="List Paragraph"/>
    <w:basedOn w:val="Normal"/>
    <w:uiPriority w:val="34"/>
    <w:qFormat/>
    <w:rsid w:val="00203D20"/>
    <w:pPr>
      <w:ind w:left="720"/>
      <w:contextualSpacing/>
    </w:pPr>
  </w:style>
  <w:style w:type="paragraph" w:styleId="CommentSubject">
    <w:name w:val="annotation subject"/>
    <w:basedOn w:val="CommentText"/>
    <w:next w:val="CommentText"/>
    <w:link w:val="CommentSubjectChar"/>
    <w:uiPriority w:val="99"/>
    <w:semiHidden/>
    <w:unhideWhenUsed/>
    <w:rsid w:val="000B2D4C"/>
    <w:pPr>
      <w:spacing w:line="240" w:lineRule="auto"/>
    </w:pPr>
    <w:rPr>
      <w:b/>
      <w:bCs/>
    </w:rPr>
  </w:style>
  <w:style w:type="character" w:customStyle="1" w:styleId="CommentSubjectChar">
    <w:name w:val="Comment Subject Char"/>
    <w:basedOn w:val="CommentTextChar"/>
    <w:link w:val="CommentSubject"/>
    <w:uiPriority w:val="99"/>
    <w:semiHidden/>
    <w:rsid w:val="000B2D4C"/>
    <w:rPr>
      <w:rFonts w:ascii="Arial" w:hAnsi="Arial" w:cs="Times New Roman"/>
      <w:b/>
      <w:bCs/>
      <w:sz w:val="20"/>
      <w:szCs w:val="20"/>
    </w:rPr>
  </w:style>
  <w:style w:type="paragraph" w:styleId="Revision">
    <w:name w:val="Revision"/>
    <w:hidden/>
    <w:uiPriority w:val="99"/>
    <w:semiHidden/>
    <w:rsid w:val="00BA376E"/>
    <w:rPr>
      <w:rFonts w:ascii="Arial" w:hAnsi="Arial"/>
      <w:sz w:val="24"/>
      <w:szCs w:val="20"/>
    </w:rPr>
  </w:style>
  <w:style w:type="table" w:styleId="TableGrid">
    <w:name w:val="Table Grid"/>
    <w:basedOn w:val="TableNormal"/>
    <w:locked/>
    <w:rsid w:val="000F7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griffis\My%20Documents\invoices%20&amp;%20forms\CAL%20FIRE%20Memo%20Template%2008%20(with%20instruc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3E27C-5695-415C-B311-907E15364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CAL FIRE Memo Template 08 (with instructions).dot</Template>
  <TotalTime>6</TotalTime>
  <Pages>4</Pages>
  <Words>979</Words>
  <Characters>6987</Characters>
  <Application>Microsoft Office Word</Application>
  <DocSecurity>8</DocSecurity>
  <Lines>58</Lines>
  <Paragraphs>15</Paragraphs>
  <ScaleCrop>false</ScaleCrop>
  <HeadingPairs>
    <vt:vector size="2" baseType="variant">
      <vt:variant>
        <vt:lpstr>Title</vt:lpstr>
      </vt:variant>
      <vt:variant>
        <vt:i4>1</vt:i4>
      </vt:variant>
    </vt:vector>
  </HeadingPairs>
  <TitlesOfParts>
    <vt:vector size="1" baseType="lpstr">
      <vt:lpstr>State of California                                                                                                                The resources Agency</vt:lpstr>
    </vt:vector>
  </TitlesOfParts>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                                                                                                                The resources Agency</dc:title>
  <dc:creator>Davis Nursery</dc:creator>
  <cp:lastModifiedBy>Kemp, Mazonika@BOF</cp:lastModifiedBy>
  <cp:revision>4</cp:revision>
  <cp:lastPrinted>2019-05-23T20:46:00Z</cp:lastPrinted>
  <dcterms:created xsi:type="dcterms:W3CDTF">2021-07-06T18:12:00Z</dcterms:created>
  <dcterms:modified xsi:type="dcterms:W3CDTF">2021-07-08T17:15:00Z</dcterms:modified>
</cp:coreProperties>
</file>