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AA8B" w14:textId="77777777" w:rsidR="001A4225" w:rsidRDefault="005F2D59" w:rsidP="005F2D59">
      <w:pPr>
        <w:rPr>
          <w:b/>
          <w:sz w:val="18"/>
        </w:rPr>
      </w:pPr>
      <w:r>
        <w:rPr>
          <w:b/>
          <w:sz w:val="18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18"/>
            </w:rPr>
            <w:t>California</w:t>
          </w:r>
        </w:smartTag>
      </w:smartTag>
      <w:r>
        <w:rPr>
          <w:b/>
          <w:sz w:val="18"/>
        </w:rPr>
        <w:t xml:space="preserve">                                                                                                                          </w:t>
      </w:r>
    </w:p>
    <w:p w14:paraId="181C4B3F" w14:textId="6A7F9EDD" w:rsidR="005F2D59" w:rsidRDefault="005F2D59" w:rsidP="005F2D59">
      <w:pPr>
        <w:rPr>
          <w:b/>
        </w:rPr>
      </w:pPr>
      <w:r>
        <w:rPr>
          <w:b/>
          <w:sz w:val="22"/>
        </w:rPr>
        <w:t>The Resources Agency</w:t>
      </w:r>
    </w:p>
    <w:p w14:paraId="107F8070" w14:textId="77777777" w:rsidR="005F2D59" w:rsidRDefault="005F2D59" w:rsidP="005F2D59"/>
    <w:p w14:paraId="066F0648" w14:textId="77777777" w:rsidR="005F2D59" w:rsidRDefault="005F2D59" w:rsidP="005F2D59">
      <w:pPr>
        <w:rPr>
          <w:spacing w:val="100"/>
          <w:sz w:val="36"/>
        </w:rPr>
      </w:pPr>
      <w:r>
        <w:rPr>
          <w:b/>
          <w:spacing w:val="100"/>
          <w:sz w:val="36"/>
        </w:rPr>
        <w:t>Memorandum</w:t>
      </w:r>
    </w:p>
    <w:p w14:paraId="6C50B778" w14:textId="77777777" w:rsidR="005F2D59" w:rsidRDefault="005F2D59" w:rsidP="005F2D59">
      <w:pPr>
        <w:rPr>
          <w:spacing w:val="120"/>
        </w:rPr>
      </w:pPr>
    </w:p>
    <w:p w14:paraId="6F9B6316" w14:textId="77777777" w:rsidR="005F2D59" w:rsidRDefault="005F2D59" w:rsidP="005F2D59">
      <w:pPr>
        <w:rPr>
          <w:spacing w:val="1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5689"/>
        <w:gridCol w:w="3851"/>
      </w:tblGrid>
      <w:tr w:rsidR="005F2D59" w:rsidRPr="00D11B30" w14:paraId="013E68A9" w14:textId="77777777" w:rsidTr="000E6831">
        <w:trPr>
          <w:cantSplit/>
          <w:trHeight w:hRule="exact" w:val="1476"/>
        </w:trPr>
        <w:tc>
          <w:tcPr>
            <w:tcW w:w="1260" w:type="dxa"/>
          </w:tcPr>
          <w:p w14:paraId="373543CB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  <w:r w:rsidRPr="00D11B30">
              <w:rPr>
                <w:rFonts w:cs="Arial"/>
                <w:b/>
                <w:szCs w:val="24"/>
              </w:rPr>
              <w:t>To:</w:t>
            </w:r>
          </w:p>
          <w:p w14:paraId="1176A5E1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  <w:r w:rsidRPr="00D11B30">
              <w:rPr>
                <w:rFonts w:cs="Arial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14:paraId="0FC66822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  <w:r w:rsidRPr="00D11B30">
              <w:rPr>
                <w:rFonts w:cs="Arial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14:paraId="49958717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  <w:r w:rsidRPr="00D11B30">
              <w:rPr>
                <w:rFonts w:cs="Arial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  <w:p w14:paraId="086C53AD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  <w:r w:rsidRPr="00D11B30">
              <w:rPr>
                <w:rFonts w:cs="Arial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14:paraId="3ED2D0EA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  <w:r w:rsidRPr="00D11B30">
              <w:rPr>
                <w:rFonts w:cs="Arial"/>
                <w:szCs w:val="24"/>
              </w:rPr>
              <w:t xml:space="preserve">                                                            </w:t>
            </w:r>
          </w:p>
          <w:p w14:paraId="38A57C45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  <w:r w:rsidRPr="00D11B30">
              <w:rPr>
                <w:rFonts w:cs="Arial"/>
                <w:szCs w:val="24"/>
              </w:rPr>
              <w:t xml:space="preserve">                                                       </w:t>
            </w:r>
          </w:p>
          <w:p w14:paraId="3F9D460C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  <w:r w:rsidRPr="00D11B30">
              <w:rPr>
                <w:rFonts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F95122E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</w:p>
          <w:p w14:paraId="64E71DB0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</w:p>
          <w:p w14:paraId="116AE4DF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</w:p>
          <w:p w14:paraId="4CDB031F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</w:p>
          <w:p w14:paraId="09139A60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  <w:r w:rsidRPr="00D11B30">
              <w:rPr>
                <w:rFonts w:cs="Arial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5689" w:type="dxa"/>
          </w:tcPr>
          <w:p w14:paraId="50160DBF" w14:textId="14833D45" w:rsidR="005F2D59" w:rsidRPr="00D11B30" w:rsidRDefault="00683EAF" w:rsidP="000E6831">
            <w:pPr>
              <w:jc w:val="both"/>
              <w:rPr>
                <w:rFonts w:cs="Arial"/>
                <w:szCs w:val="24"/>
              </w:rPr>
            </w:pPr>
            <w:bookmarkStart w:id="0" w:name="Recipient"/>
            <w:bookmarkEnd w:id="0"/>
            <w:r>
              <w:rPr>
                <w:rFonts w:cs="Arial"/>
                <w:szCs w:val="24"/>
              </w:rPr>
              <w:t xml:space="preserve">California </w:t>
            </w:r>
            <w:r w:rsidR="005F2D59">
              <w:rPr>
                <w:rFonts w:cs="Arial"/>
                <w:szCs w:val="24"/>
              </w:rPr>
              <w:t>Board of Forestry</w:t>
            </w:r>
            <w:r>
              <w:rPr>
                <w:rFonts w:cs="Arial"/>
                <w:szCs w:val="24"/>
              </w:rPr>
              <w:t xml:space="preserve"> and Fire Protection</w:t>
            </w:r>
          </w:p>
          <w:p w14:paraId="791A2D0D" w14:textId="77777777" w:rsidR="005F2D59" w:rsidRPr="00D11B30" w:rsidRDefault="005F2D59" w:rsidP="000E6831">
            <w:pPr>
              <w:jc w:val="both"/>
              <w:rPr>
                <w:rFonts w:cs="Arial"/>
                <w:szCs w:val="24"/>
              </w:rPr>
            </w:pPr>
            <w:r w:rsidRPr="00D11B30">
              <w:rPr>
                <w:rFonts w:cs="Arial"/>
                <w:szCs w:val="24"/>
              </w:rPr>
              <w:t xml:space="preserve"> </w:t>
            </w:r>
          </w:p>
          <w:p w14:paraId="7C3F55AA" w14:textId="77777777" w:rsidR="005F2D59" w:rsidRPr="00D11B30" w:rsidRDefault="005F2D59" w:rsidP="000E6831">
            <w:pPr>
              <w:jc w:val="both"/>
              <w:rPr>
                <w:rFonts w:cs="Arial"/>
                <w:szCs w:val="24"/>
              </w:rPr>
            </w:pPr>
          </w:p>
          <w:p w14:paraId="24C64409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</w:p>
          <w:p w14:paraId="652CC8B0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</w:p>
          <w:p w14:paraId="021BE35B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</w:p>
          <w:p w14:paraId="02EDBE41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</w:p>
          <w:p w14:paraId="75A86CD3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</w:p>
          <w:p w14:paraId="5963C7BE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</w:p>
          <w:p w14:paraId="63F2A85A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  <w:r w:rsidRPr="00D11B3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851" w:type="dxa"/>
          </w:tcPr>
          <w:p w14:paraId="6F3166D9" w14:textId="3055F00C" w:rsidR="005F2D59" w:rsidRPr="00A513FE" w:rsidRDefault="005F2D59" w:rsidP="000E6831">
            <w:pPr>
              <w:rPr>
                <w:rFonts w:cs="Arial"/>
                <w:szCs w:val="24"/>
              </w:rPr>
            </w:pPr>
            <w:r w:rsidRPr="00AF1C66">
              <w:rPr>
                <w:rFonts w:cs="Arial"/>
                <w:b/>
                <w:szCs w:val="24"/>
              </w:rPr>
              <w:t>Date:</w:t>
            </w:r>
            <w:r w:rsidRPr="00A513FE">
              <w:rPr>
                <w:rFonts w:cs="Arial"/>
                <w:szCs w:val="24"/>
              </w:rPr>
              <w:t xml:space="preserve"> </w:t>
            </w:r>
            <w:r w:rsidR="003159BD">
              <w:rPr>
                <w:rFonts w:cs="Arial"/>
                <w:szCs w:val="24"/>
              </w:rPr>
              <w:t>June 1, 2023</w:t>
            </w:r>
          </w:p>
          <w:p w14:paraId="55439116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</w:p>
          <w:p w14:paraId="1C21D562" w14:textId="1D83A0A1" w:rsidR="005F2D59" w:rsidRPr="00D11B30" w:rsidRDefault="005F2D59" w:rsidP="000E6831">
            <w:pPr>
              <w:rPr>
                <w:rFonts w:cs="Arial"/>
                <w:szCs w:val="24"/>
              </w:rPr>
            </w:pPr>
            <w:r w:rsidRPr="00D11B30">
              <w:rPr>
                <w:rFonts w:cs="Arial"/>
                <w:b/>
                <w:szCs w:val="24"/>
              </w:rPr>
              <w:t>Telephone:</w:t>
            </w:r>
            <w:bookmarkStart w:id="1" w:name="Phone"/>
            <w:bookmarkEnd w:id="1"/>
            <w:r w:rsidR="00683EAF">
              <w:rPr>
                <w:rFonts w:cs="Arial"/>
                <w:b/>
                <w:szCs w:val="24"/>
              </w:rPr>
              <w:t xml:space="preserve"> 530-379-5085</w:t>
            </w:r>
          </w:p>
          <w:p w14:paraId="5903C2A7" w14:textId="77777777" w:rsidR="005F2D59" w:rsidRPr="00D11B30" w:rsidRDefault="005F2D59" w:rsidP="000E6831">
            <w:pPr>
              <w:rPr>
                <w:rFonts w:cs="Arial"/>
                <w:szCs w:val="24"/>
              </w:rPr>
            </w:pPr>
          </w:p>
          <w:p w14:paraId="004F6766" w14:textId="77777777" w:rsidR="005F2D59" w:rsidRPr="00A513FE" w:rsidRDefault="005F2D59" w:rsidP="000E6831">
            <w:pPr>
              <w:rPr>
                <w:rFonts w:cs="Arial"/>
                <w:szCs w:val="24"/>
              </w:rPr>
            </w:pPr>
            <w:r w:rsidRPr="00AF1C66">
              <w:rPr>
                <w:rFonts w:cs="Arial"/>
                <w:b/>
                <w:szCs w:val="24"/>
              </w:rPr>
              <w:t>Website:</w:t>
            </w:r>
            <w:r w:rsidRPr="00A513FE">
              <w:rPr>
                <w:rFonts w:cs="Arial"/>
                <w:szCs w:val="24"/>
              </w:rPr>
              <w:t xml:space="preserve"> www.fire.ca.gov</w:t>
            </w:r>
          </w:p>
        </w:tc>
      </w:tr>
    </w:tbl>
    <w:p w14:paraId="5241BC24" w14:textId="77777777" w:rsidR="005F2D59" w:rsidRPr="00D11B30" w:rsidRDefault="005F2D59" w:rsidP="005F2D59">
      <w:pPr>
        <w:rPr>
          <w:rFonts w:cs="Arial"/>
          <w:b/>
          <w:szCs w:val="24"/>
        </w:rPr>
      </w:pPr>
    </w:p>
    <w:p w14:paraId="3EDB8164" w14:textId="77777777" w:rsidR="005F2D59" w:rsidRPr="00D11B30" w:rsidRDefault="005F2D59" w:rsidP="005F2D59">
      <w:pPr>
        <w:rPr>
          <w:rFonts w:cs="Arial"/>
          <w:szCs w:val="24"/>
        </w:rPr>
      </w:pPr>
      <w:r w:rsidRPr="00D11B30">
        <w:rPr>
          <w:rFonts w:cs="Arial"/>
          <w:b/>
          <w:szCs w:val="24"/>
        </w:rPr>
        <w:t>From</w:t>
      </w:r>
      <w:r w:rsidRPr="00D11B30">
        <w:rPr>
          <w:rFonts w:cs="Arial"/>
          <w:szCs w:val="24"/>
        </w:rPr>
        <w:t xml:space="preserve">:         </w:t>
      </w:r>
      <w:r>
        <w:rPr>
          <w:rFonts w:cs="Arial"/>
          <w:szCs w:val="24"/>
        </w:rPr>
        <w:t>Stewart McMorrow, Staff Chief Wildfire Resilience</w:t>
      </w:r>
    </w:p>
    <w:p w14:paraId="05FF9CFE" w14:textId="77777777" w:rsidR="005F2D59" w:rsidRPr="00B33AA8" w:rsidRDefault="005F2D59" w:rsidP="005F2D59">
      <w:pPr>
        <w:ind w:left="540" w:firstLine="720"/>
        <w:rPr>
          <w:rFonts w:cs="Arial"/>
          <w:szCs w:val="24"/>
        </w:rPr>
      </w:pPr>
      <w:r>
        <w:rPr>
          <w:rFonts w:cs="Arial"/>
          <w:szCs w:val="24"/>
        </w:rPr>
        <w:t>Lewis A. Moran Reforestation Center</w:t>
      </w:r>
    </w:p>
    <w:p w14:paraId="3A367093" w14:textId="77777777" w:rsidR="005F2D59" w:rsidRPr="00B33AA8" w:rsidRDefault="005F2D59" w:rsidP="005F2D59">
      <w:pPr>
        <w:ind w:left="1260"/>
        <w:jc w:val="both"/>
        <w:rPr>
          <w:rFonts w:cs="Arial"/>
          <w:szCs w:val="24"/>
        </w:rPr>
      </w:pPr>
      <w:r>
        <w:rPr>
          <w:rFonts w:cs="Arial"/>
          <w:szCs w:val="24"/>
        </w:rPr>
        <w:t>Resource Management</w:t>
      </w:r>
    </w:p>
    <w:p w14:paraId="55898900" w14:textId="77777777" w:rsidR="005F2D59" w:rsidRPr="00B33AA8" w:rsidRDefault="005F2D59" w:rsidP="005F2D59">
      <w:pPr>
        <w:ind w:left="1260"/>
        <w:rPr>
          <w:rFonts w:cs="Arial"/>
          <w:b/>
          <w:szCs w:val="24"/>
        </w:rPr>
      </w:pPr>
      <w:r w:rsidRPr="00B33AA8">
        <w:rPr>
          <w:rFonts w:cs="Arial"/>
          <w:b/>
          <w:szCs w:val="24"/>
        </w:rPr>
        <w:t>California Department of Forestry and Fire Protection (</w:t>
      </w:r>
      <w:smartTag w:uri="urn:schemas-microsoft-com:office:smarttags" w:element="place">
        <w:smartTag w:uri="urn:schemas-microsoft-com:office:smarttags" w:element="State">
          <w:r w:rsidRPr="00B33AA8">
            <w:rPr>
              <w:rFonts w:cs="Arial"/>
              <w:b/>
              <w:szCs w:val="24"/>
            </w:rPr>
            <w:t>CAL</w:t>
          </w:r>
        </w:smartTag>
      </w:smartTag>
      <w:r w:rsidRPr="00B33AA8">
        <w:rPr>
          <w:rFonts w:cs="Arial"/>
          <w:b/>
          <w:szCs w:val="24"/>
        </w:rPr>
        <w:t xml:space="preserve"> FIRE)</w:t>
      </w:r>
    </w:p>
    <w:p w14:paraId="1859976D" w14:textId="77777777" w:rsidR="005F2D59" w:rsidRDefault="005F2D59" w:rsidP="005F2D59">
      <w:pPr>
        <w:rPr>
          <w:rFonts w:cs="Arial"/>
          <w:szCs w:val="24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820"/>
      </w:tblGrid>
      <w:tr w:rsidR="005F2D59" w:rsidRPr="00B33AA8" w14:paraId="6E9433B1" w14:textId="77777777" w:rsidTr="001721F0">
        <w:trPr>
          <w:trHeight w:val="675"/>
        </w:trPr>
        <w:tc>
          <w:tcPr>
            <w:tcW w:w="1260" w:type="dxa"/>
          </w:tcPr>
          <w:p w14:paraId="4012DC95" w14:textId="76E14888" w:rsidR="005F2D59" w:rsidRPr="00B33AA8" w:rsidRDefault="005F2D59" w:rsidP="000E6831">
            <w:pPr>
              <w:rPr>
                <w:rFonts w:cs="Arial"/>
                <w:b/>
                <w:szCs w:val="24"/>
              </w:rPr>
            </w:pPr>
            <w:r w:rsidRPr="00B33AA8">
              <w:rPr>
                <w:rFonts w:cs="Arial"/>
                <w:b/>
                <w:szCs w:val="24"/>
              </w:rPr>
              <w:t xml:space="preserve">Subject:    </w:t>
            </w:r>
          </w:p>
        </w:tc>
        <w:tc>
          <w:tcPr>
            <w:tcW w:w="8820" w:type="dxa"/>
          </w:tcPr>
          <w:p w14:paraId="5C3630FD" w14:textId="7DF05543" w:rsidR="001721F0" w:rsidRDefault="00815CE5" w:rsidP="000E6831">
            <w:pPr>
              <w:rPr>
                <w:rFonts w:cs="Arial"/>
                <w:szCs w:val="24"/>
              </w:rPr>
            </w:pPr>
            <w:bookmarkStart w:id="2" w:name="Subject"/>
            <w:bookmarkEnd w:id="2"/>
            <w:r>
              <w:rPr>
                <w:rFonts w:cs="Arial"/>
                <w:szCs w:val="24"/>
              </w:rPr>
              <w:t>Proposed s</w:t>
            </w:r>
            <w:r w:rsidR="001721F0">
              <w:rPr>
                <w:rFonts w:cs="Arial"/>
                <w:szCs w:val="24"/>
              </w:rPr>
              <w:t xml:space="preserve">eed </w:t>
            </w:r>
            <w:r w:rsidR="0030732D">
              <w:rPr>
                <w:rFonts w:cs="Arial"/>
                <w:szCs w:val="24"/>
              </w:rPr>
              <w:t>rates</w:t>
            </w:r>
            <w:r w:rsidR="001721F0">
              <w:rPr>
                <w:rFonts w:cs="Arial"/>
                <w:szCs w:val="24"/>
              </w:rPr>
              <w:t xml:space="preserve"> adjustment</w:t>
            </w:r>
            <w:r>
              <w:rPr>
                <w:rFonts w:cs="Arial"/>
                <w:szCs w:val="24"/>
              </w:rPr>
              <w:t>s for inflationary increases.</w:t>
            </w:r>
          </w:p>
          <w:p w14:paraId="56A8586F" w14:textId="77777777" w:rsidR="00815CE5" w:rsidRDefault="00815CE5" w:rsidP="000E6831">
            <w:pPr>
              <w:rPr>
                <w:rFonts w:cs="Arial"/>
                <w:b/>
                <w:szCs w:val="24"/>
                <w:u w:val="single"/>
              </w:rPr>
            </w:pPr>
          </w:p>
          <w:p w14:paraId="0CB749BB" w14:textId="77777777" w:rsidR="005F2D59" w:rsidRPr="00B33AA8" w:rsidRDefault="005F2D59" w:rsidP="000E6831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23689076" w14:textId="26331B55" w:rsidR="007C318D" w:rsidRDefault="007C318D" w:rsidP="005F2D59">
      <w:pPr>
        <w:rPr>
          <w:bCs/>
        </w:rPr>
      </w:pPr>
      <w:r>
        <w:rPr>
          <w:bCs/>
        </w:rPr>
        <w:t>The L</w:t>
      </w:r>
      <w:r w:rsidR="00C84CA9">
        <w:rPr>
          <w:bCs/>
        </w:rPr>
        <w:t xml:space="preserve">ewis </w:t>
      </w:r>
      <w:r>
        <w:rPr>
          <w:bCs/>
        </w:rPr>
        <w:t xml:space="preserve">A. Moran Reforestation Center (LAMRC) located in Davis is the only state-run seed back in California. </w:t>
      </w:r>
      <w:r w:rsidR="00C84CA9">
        <w:rPr>
          <w:bCs/>
        </w:rPr>
        <w:t xml:space="preserve">The center falls under CAL FIRE’s Reforestation Services Program (RSP). </w:t>
      </w:r>
      <w:r>
        <w:rPr>
          <w:bCs/>
        </w:rPr>
        <w:t xml:space="preserve">The seed bank is a long-term seed repository stored in sub-zero freezer banks containing over </w:t>
      </w:r>
      <w:r w:rsidR="001A4225">
        <w:rPr>
          <w:bCs/>
        </w:rPr>
        <w:t>4</w:t>
      </w:r>
      <w:r>
        <w:rPr>
          <w:bCs/>
        </w:rPr>
        <w:t xml:space="preserve">0,000 pounds of </w:t>
      </w:r>
      <w:r w:rsidR="009D15CD">
        <w:rPr>
          <w:bCs/>
        </w:rPr>
        <w:t xml:space="preserve">conifer </w:t>
      </w:r>
      <w:r>
        <w:rPr>
          <w:bCs/>
        </w:rPr>
        <w:t>seed. The Seed Bank provides a wide variety of native tree species from a range of areas and elevations throughout the state for a series of projects such as post-fire reforestation. This assists in restoring native lands exposed to shifting climates and rising uncertainties in the forest ecosystem. The Seed Bank acts as protection against the threat of state-wide extinction, striving to preserve species for current and future generations of Californians. It is a vital part of reforestation’s future.</w:t>
      </w:r>
    </w:p>
    <w:p w14:paraId="2ABCF1E7" w14:textId="2D99055C" w:rsidR="009D15CD" w:rsidRDefault="009D15CD" w:rsidP="005F2D59">
      <w:pPr>
        <w:rPr>
          <w:bCs/>
        </w:rPr>
      </w:pPr>
    </w:p>
    <w:p w14:paraId="595E9F95" w14:textId="18D45494" w:rsidR="00C84CA9" w:rsidRDefault="009D15CD" w:rsidP="005F2D59">
      <w:pPr>
        <w:rPr>
          <w:bCs/>
        </w:rPr>
      </w:pPr>
      <w:r>
        <w:rPr>
          <w:bCs/>
        </w:rPr>
        <w:t xml:space="preserve">As wildfires continue to devastate California’s landscape </w:t>
      </w:r>
      <w:r w:rsidR="00041C85">
        <w:rPr>
          <w:bCs/>
        </w:rPr>
        <w:t xml:space="preserve">the demand for seed is increasing, however, the cost </w:t>
      </w:r>
      <w:r w:rsidR="0030732D">
        <w:rPr>
          <w:bCs/>
        </w:rPr>
        <w:t>of</w:t>
      </w:r>
      <w:r w:rsidR="00041C85">
        <w:rPr>
          <w:bCs/>
        </w:rPr>
        <w:t xml:space="preserve"> this valuable resource has not been revised since 2014. </w:t>
      </w:r>
      <w:r w:rsidR="0014075E">
        <w:rPr>
          <w:bCs/>
        </w:rPr>
        <w:t>The</w:t>
      </w:r>
      <w:r w:rsidR="000E23F5">
        <w:rPr>
          <w:bCs/>
        </w:rPr>
        <w:t>re</w:t>
      </w:r>
      <w:r w:rsidR="0014075E">
        <w:rPr>
          <w:bCs/>
        </w:rPr>
        <w:t xml:space="preserve"> is minimal institutional knowledge behind the original establishment of the current price structure. However, inflationary pressures due to the recent pandemic as well as a review of private business seed rates has prompted the RSP to evaluate the need for an increase in seed rates to adjust for inflation</w:t>
      </w:r>
      <w:r w:rsidR="00683EAF">
        <w:rPr>
          <w:bCs/>
        </w:rPr>
        <w:t xml:space="preserve">. These changes will reposition our pricing structure so as to not be competitive with private sector seed sale companies. </w:t>
      </w:r>
    </w:p>
    <w:p w14:paraId="240A0785" w14:textId="2FCF2FA4" w:rsidR="00741488" w:rsidRDefault="00741488" w:rsidP="005F2D59">
      <w:pPr>
        <w:rPr>
          <w:bCs/>
        </w:rPr>
      </w:pPr>
    </w:p>
    <w:p w14:paraId="3A637481" w14:textId="301D1489" w:rsidR="00741488" w:rsidRPr="00587BA0" w:rsidRDefault="00741488" w:rsidP="005F2D59">
      <w:pPr>
        <w:rPr>
          <w:bCs/>
        </w:rPr>
      </w:pPr>
      <w:r>
        <w:rPr>
          <w:bCs/>
        </w:rPr>
        <w:t xml:space="preserve">The following information describes our procedure for setting a new pricing structure for seed sales and seed processing. </w:t>
      </w:r>
      <w:r w:rsidR="002C4679">
        <w:rPr>
          <w:bCs/>
        </w:rPr>
        <w:t xml:space="preserve">A new pricing schedule is included for review of all potential pricing. </w:t>
      </w:r>
    </w:p>
    <w:p w14:paraId="2A45FCC7" w14:textId="59FF282C" w:rsidR="00635CE0" w:rsidRDefault="00635CE0" w:rsidP="005F2D59"/>
    <w:p w14:paraId="7B86F41B" w14:textId="1A7BC86A" w:rsidR="005F2D59" w:rsidRPr="0014075E" w:rsidRDefault="005F2D59" w:rsidP="005F2D59">
      <w:pPr>
        <w:rPr>
          <w:b/>
          <w:szCs w:val="24"/>
          <w:u w:val="single"/>
        </w:rPr>
      </w:pPr>
      <w:r w:rsidRPr="0014075E">
        <w:rPr>
          <w:b/>
          <w:szCs w:val="24"/>
          <w:u w:val="single"/>
        </w:rPr>
        <w:t>Proposed Pricing Structure</w:t>
      </w:r>
    </w:p>
    <w:p w14:paraId="034FA66D" w14:textId="77777777" w:rsidR="005F2D59" w:rsidRPr="000F7736" w:rsidRDefault="005F2D59" w:rsidP="005F2D59"/>
    <w:p w14:paraId="549DF818" w14:textId="230AC03F" w:rsidR="001E1E0B" w:rsidRPr="001E1E0B" w:rsidRDefault="005F2D59" w:rsidP="005F2D59">
      <w:pPr>
        <w:rPr>
          <w:b/>
          <w:i/>
          <w:iCs/>
        </w:rPr>
      </w:pPr>
      <w:r w:rsidRPr="000F7736">
        <w:rPr>
          <w:b/>
          <w:i/>
          <w:iCs/>
        </w:rPr>
        <w:t xml:space="preserve">Comparable </w:t>
      </w:r>
      <w:r w:rsidR="00FD69B7">
        <w:rPr>
          <w:b/>
          <w:i/>
          <w:iCs/>
        </w:rPr>
        <w:t>Seed Bank Facilities</w:t>
      </w:r>
    </w:p>
    <w:p w14:paraId="2796AC02" w14:textId="26F8D9C0" w:rsidR="00536596" w:rsidRPr="00536596" w:rsidRDefault="007F4C63" w:rsidP="005F2D59">
      <w:pPr>
        <w:rPr>
          <w:bCs/>
        </w:rPr>
      </w:pPr>
      <w:r>
        <w:rPr>
          <w:bCs/>
        </w:rPr>
        <w:t xml:space="preserve">Since LAMRC is the only state-run seed bank in California, direct metric comparison with other state facilities is unachievable. </w:t>
      </w:r>
      <w:r w:rsidR="000276F5">
        <w:rPr>
          <w:bCs/>
        </w:rPr>
        <w:t xml:space="preserve">The Oregon Seed Bank is another state-run </w:t>
      </w:r>
      <w:r w:rsidR="000276F5">
        <w:rPr>
          <w:bCs/>
        </w:rPr>
        <w:lastRenderedPageBreak/>
        <w:t>seed bank that provides seed and services at a rate comparable to LAMRC.</w:t>
      </w:r>
      <w:r w:rsidR="00174A49">
        <w:rPr>
          <w:bCs/>
        </w:rPr>
        <w:t xml:space="preserve"> The Oregon Seed Bank currently sells seed at a</w:t>
      </w:r>
      <w:r w:rsidR="00F31622">
        <w:rPr>
          <w:bCs/>
        </w:rPr>
        <w:t xml:space="preserve">n average </w:t>
      </w:r>
      <w:r w:rsidR="00174A49">
        <w:rPr>
          <w:bCs/>
        </w:rPr>
        <w:t>rate of $</w:t>
      </w:r>
      <w:r w:rsidR="00454F00">
        <w:rPr>
          <w:bCs/>
        </w:rPr>
        <w:t>414</w:t>
      </w:r>
      <w:r w:rsidR="001859D3">
        <w:rPr>
          <w:bCs/>
        </w:rPr>
        <w:t>.29</w:t>
      </w:r>
      <w:r w:rsidR="00174A49">
        <w:rPr>
          <w:bCs/>
        </w:rPr>
        <w:t xml:space="preserve"> per pound, while the LAMRC currently sells seed at a</w:t>
      </w:r>
      <w:r w:rsidR="00F31622">
        <w:rPr>
          <w:bCs/>
        </w:rPr>
        <w:t>n average</w:t>
      </w:r>
      <w:r w:rsidR="00174A49">
        <w:rPr>
          <w:bCs/>
        </w:rPr>
        <w:t xml:space="preserve"> rate of $269.11 per pound. Most</w:t>
      </w:r>
      <w:r w:rsidR="00C267FF" w:rsidRPr="00C267FF">
        <w:rPr>
          <w:bCs/>
        </w:rPr>
        <w:t xml:space="preserve"> private </w:t>
      </w:r>
      <w:r w:rsidR="00174A49">
        <w:rPr>
          <w:bCs/>
        </w:rPr>
        <w:t>seed banks</w:t>
      </w:r>
      <w:r w:rsidR="00C267FF" w:rsidRPr="00C267FF">
        <w:rPr>
          <w:bCs/>
        </w:rPr>
        <w:t xml:space="preserve"> </w:t>
      </w:r>
      <w:r w:rsidR="00174A49">
        <w:rPr>
          <w:bCs/>
        </w:rPr>
        <w:t xml:space="preserve">primarily </w:t>
      </w:r>
      <w:r w:rsidR="00C267FF" w:rsidRPr="00C267FF">
        <w:rPr>
          <w:bCs/>
        </w:rPr>
        <w:t>have a retail focus</w:t>
      </w:r>
      <w:r w:rsidR="00174A49">
        <w:rPr>
          <w:bCs/>
        </w:rPr>
        <w:t>,</w:t>
      </w:r>
      <w:r w:rsidR="00C267FF" w:rsidRPr="00C267FF">
        <w:rPr>
          <w:bCs/>
        </w:rPr>
        <w:t xml:space="preserve"> but occasionally pro</w:t>
      </w:r>
      <w:r w:rsidR="00174A49">
        <w:rPr>
          <w:bCs/>
        </w:rPr>
        <w:t xml:space="preserve">vide seeds </w:t>
      </w:r>
      <w:r w:rsidR="00C267FF" w:rsidRPr="00C267FF">
        <w:rPr>
          <w:bCs/>
        </w:rPr>
        <w:t>for reforestation</w:t>
      </w:r>
      <w:r w:rsidR="00174A49">
        <w:rPr>
          <w:bCs/>
        </w:rPr>
        <w:t xml:space="preserve"> purposes.</w:t>
      </w:r>
      <w:r w:rsidR="00F31622">
        <w:rPr>
          <w:bCs/>
        </w:rPr>
        <w:t xml:space="preserve"> </w:t>
      </w:r>
      <w:proofErr w:type="spellStart"/>
      <w:r w:rsidR="00F31622">
        <w:rPr>
          <w:bCs/>
        </w:rPr>
        <w:t>Silvaseed</w:t>
      </w:r>
      <w:proofErr w:type="spellEnd"/>
      <w:r w:rsidR="00F31622">
        <w:rPr>
          <w:bCs/>
        </w:rPr>
        <w:t xml:space="preserve">, one of the largest private seed banks, currently sells their seed at an average of $296.58 per pound. </w:t>
      </w:r>
    </w:p>
    <w:p w14:paraId="57DC175D" w14:textId="77777777" w:rsidR="005F2D59" w:rsidRPr="000F7736" w:rsidRDefault="005F2D59" w:rsidP="005F2D59"/>
    <w:p w14:paraId="411D37C3" w14:textId="77777777" w:rsidR="007F4C63" w:rsidRDefault="005F2D59" w:rsidP="00065BCD">
      <w:pPr>
        <w:rPr>
          <w:b/>
          <w:i/>
          <w:iCs/>
        </w:rPr>
      </w:pPr>
      <w:r w:rsidRPr="00543839">
        <w:rPr>
          <w:b/>
          <w:i/>
          <w:iCs/>
        </w:rPr>
        <w:t xml:space="preserve">Proposed pricing </w:t>
      </w:r>
      <w:r w:rsidR="00653D71" w:rsidRPr="00543839">
        <w:rPr>
          <w:b/>
          <w:i/>
          <w:iCs/>
        </w:rPr>
        <w:t>structure.</w:t>
      </w:r>
    </w:p>
    <w:p w14:paraId="4B287902" w14:textId="3F326C29" w:rsidR="00C56E90" w:rsidRDefault="00C56E90" w:rsidP="00065BCD">
      <w:r>
        <w:t>A</w:t>
      </w:r>
      <w:r w:rsidR="00521954">
        <w:t>ccording to the U.S. Bureau of Labor Statistics</w:t>
      </w:r>
      <w:r w:rsidR="002D3395">
        <w:t xml:space="preserve"> inflation rate, $1</w:t>
      </w:r>
      <w:r w:rsidR="00DB2CEF">
        <w:t>.00</w:t>
      </w:r>
      <w:r w:rsidR="002D3395">
        <w:t xml:space="preserve"> of buying power in </w:t>
      </w:r>
      <w:r w:rsidR="00453182">
        <w:t xml:space="preserve">January </w:t>
      </w:r>
      <w:r w:rsidR="002D3395">
        <w:t xml:space="preserve">2014 </w:t>
      </w:r>
      <w:r w:rsidR="00453182">
        <w:t>is equal to $1.28 of buying power in January 2023</w:t>
      </w:r>
      <w:r>
        <w:t xml:space="preserve">. </w:t>
      </w:r>
      <w:r w:rsidR="00676993">
        <w:t>C</w:t>
      </w:r>
      <w:r w:rsidR="005F2D59" w:rsidRPr="000F7736">
        <w:t xml:space="preserve">onsidering past LAMRC pricing as well as the prices set by other government run </w:t>
      </w:r>
      <w:r w:rsidR="00044E22">
        <w:t>seed banks</w:t>
      </w:r>
      <w:r w:rsidR="005F2D59" w:rsidRPr="000F7736">
        <w:t xml:space="preserve">, </w:t>
      </w:r>
      <w:r w:rsidR="005F2D59">
        <w:t>and the infinite unknowns related to future s</w:t>
      </w:r>
      <w:r w:rsidR="00E25700">
        <w:t>eed</w:t>
      </w:r>
      <w:r w:rsidR="005F2D59">
        <w:t xml:space="preserve"> requests and challenges, </w:t>
      </w:r>
      <w:r w:rsidR="005F2D59" w:rsidRPr="000F7736">
        <w:t>we propose the following pricing structure for L</w:t>
      </w:r>
      <w:r w:rsidR="005F2D59">
        <w:t>.</w:t>
      </w:r>
      <w:r w:rsidR="005F2D59" w:rsidRPr="000F7736">
        <w:t>A</w:t>
      </w:r>
      <w:r w:rsidR="005F2D59">
        <w:t>.</w:t>
      </w:r>
      <w:r w:rsidR="005F2D59" w:rsidRPr="000F7736">
        <w:t xml:space="preserve"> Moran Reforestation Center seeds, to go into effect for </w:t>
      </w:r>
      <w:r w:rsidR="001A4225">
        <w:t>fiscal year 2023.</w:t>
      </w:r>
      <w:r w:rsidR="007754BA">
        <w:t xml:space="preserve"> </w:t>
      </w:r>
    </w:p>
    <w:p w14:paraId="5B27D3B4" w14:textId="3CFDD3A5" w:rsidR="00C56E90" w:rsidRDefault="00FB15FD" w:rsidP="00B67990">
      <w:pPr>
        <w:pStyle w:val="ListParagraph"/>
        <w:numPr>
          <w:ilvl w:val="0"/>
          <w:numId w:val="2"/>
        </w:numPr>
      </w:pPr>
      <w:r>
        <w:t xml:space="preserve">All seed prices and services will be </w:t>
      </w:r>
      <w:r w:rsidR="006E1D84">
        <w:t>increased by 28% to match the rate of inflation</w:t>
      </w:r>
      <w:r w:rsidR="00B67990">
        <w:t xml:space="preserve"> with a</w:t>
      </w:r>
      <w:r w:rsidR="007754BA">
        <w:t>verage seed price</w:t>
      </w:r>
      <w:r w:rsidR="00B67990">
        <w:t xml:space="preserve">s increasing </w:t>
      </w:r>
      <w:r w:rsidR="007754BA">
        <w:t>from $</w:t>
      </w:r>
      <w:r w:rsidR="0099404C">
        <w:t>269.11</w:t>
      </w:r>
      <w:r w:rsidR="007754BA">
        <w:t xml:space="preserve"> per pound to </w:t>
      </w:r>
      <w:r w:rsidR="0099404C">
        <w:t>$339.11 per pound.</w:t>
      </w:r>
    </w:p>
    <w:p w14:paraId="1C00F11A" w14:textId="6051F29E" w:rsidR="00C56E90" w:rsidRDefault="00DB2CEF" w:rsidP="00C56E90">
      <w:pPr>
        <w:pStyle w:val="ListParagraph"/>
        <w:numPr>
          <w:ilvl w:val="0"/>
          <w:numId w:val="2"/>
        </w:numPr>
      </w:pPr>
      <w:r>
        <w:t>Seeds will no longer be sold in</w:t>
      </w:r>
      <w:r w:rsidR="002F7D76">
        <w:t xml:space="preserve"> price</w:t>
      </w:r>
      <w:r>
        <w:t xml:space="preserve"> increments of 0.1 pound and 0.5 pound</w:t>
      </w:r>
      <w:r w:rsidR="00EF56B8">
        <w:t xml:space="preserve"> with special pricing for those smaller increments</w:t>
      </w:r>
      <w:r w:rsidR="002F7D76">
        <w:t xml:space="preserve">. </w:t>
      </w:r>
    </w:p>
    <w:p w14:paraId="37A49DC5" w14:textId="06B53D0A" w:rsidR="00E06761" w:rsidRPr="00F01121" w:rsidRDefault="00DB2CEF" w:rsidP="00F01121">
      <w:pPr>
        <w:pStyle w:val="ListParagraph"/>
        <w:numPr>
          <w:ilvl w:val="0"/>
          <w:numId w:val="2"/>
        </w:numPr>
      </w:pPr>
      <w:r>
        <w:t xml:space="preserve">Seeds will only be sold </w:t>
      </w:r>
      <w:r w:rsidR="002F7D76">
        <w:t xml:space="preserve">based on the price increment of </w:t>
      </w:r>
      <w:r>
        <w:t>1.0 pound</w:t>
      </w:r>
      <w:r w:rsidR="002550F7">
        <w:t>. This will be done to reduce overcomplexity. Any requested amount of seed will be multiplied by the price increment of 1.0 pound to determine the total cost.</w:t>
      </w:r>
    </w:p>
    <w:p w14:paraId="794CD755" w14:textId="71F36EB0" w:rsidR="000156DC" w:rsidRDefault="000156DC" w:rsidP="00C56E90">
      <w:pPr>
        <w:ind w:left="1440"/>
        <w:rPr>
          <w:rFonts w:cs="Arial"/>
          <w:bCs/>
        </w:rPr>
      </w:pPr>
      <w:r>
        <w:rPr>
          <w:rFonts w:cs="Arial"/>
          <w:bCs/>
        </w:rPr>
        <w:t>Example</w:t>
      </w:r>
      <w:r w:rsidR="00F01121">
        <w:rPr>
          <w:rFonts w:cs="Arial"/>
          <w:bCs/>
        </w:rPr>
        <w:t>:</w:t>
      </w:r>
    </w:p>
    <w:p w14:paraId="07B8F9D4" w14:textId="0C6C2EC0" w:rsidR="000156DC" w:rsidRDefault="000156DC" w:rsidP="00F01121">
      <w:pPr>
        <w:ind w:left="2160"/>
        <w:rPr>
          <w:rFonts w:cs="Arial"/>
          <w:bCs/>
        </w:rPr>
      </w:pPr>
      <w:r>
        <w:rPr>
          <w:rFonts w:cs="Arial"/>
          <w:bCs/>
        </w:rPr>
        <w:t xml:space="preserve">If 1 lb. of Coast Redwood = $832.00 and a customer asks for 0.25 lbs. The cost for </w:t>
      </w:r>
      <w:r w:rsidR="0014075E">
        <w:rPr>
          <w:rFonts w:cs="Arial"/>
          <w:bCs/>
        </w:rPr>
        <w:t xml:space="preserve">0.25 lbs. of </w:t>
      </w:r>
      <w:r>
        <w:rPr>
          <w:rFonts w:cs="Arial"/>
          <w:bCs/>
        </w:rPr>
        <w:t xml:space="preserve">Coast Redwood seed would be 0.25 x $832.00 = </w:t>
      </w:r>
      <w:r w:rsidR="00C659A5">
        <w:rPr>
          <w:rFonts w:cs="Arial"/>
          <w:bCs/>
        </w:rPr>
        <w:t>$208.</w:t>
      </w:r>
    </w:p>
    <w:p w14:paraId="2D4A24AA" w14:textId="106D47FB" w:rsidR="001A4225" w:rsidRDefault="001A4225" w:rsidP="00F01121">
      <w:pPr>
        <w:ind w:left="2160"/>
        <w:rPr>
          <w:rFonts w:cs="Arial"/>
          <w:bCs/>
        </w:rPr>
      </w:pPr>
    </w:p>
    <w:p w14:paraId="4B6F20D4" w14:textId="4C166D22" w:rsidR="001A4225" w:rsidRDefault="001A4225" w:rsidP="00F01121">
      <w:pPr>
        <w:ind w:left="2160"/>
        <w:rPr>
          <w:rFonts w:cs="Arial"/>
          <w:bCs/>
        </w:rPr>
      </w:pPr>
      <w:r>
        <w:rPr>
          <w:rFonts w:cs="Arial"/>
          <w:bCs/>
        </w:rPr>
        <w:t>Similar if a customer is asking for 2.05 lbs. of Coast Redwood the cost would be 2.05 lbs. x $832.00 = $1,705.6</w:t>
      </w:r>
    </w:p>
    <w:p w14:paraId="36EF6B45" w14:textId="77777777" w:rsidR="00C56E90" w:rsidRDefault="00C56E90" w:rsidP="00C56E90">
      <w:pPr>
        <w:ind w:left="1440"/>
        <w:rPr>
          <w:rFonts w:cs="Arial"/>
          <w:bCs/>
        </w:rPr>
      </w:pPr>
    </w:p>
    <w:p w14:paraId="47633ADE" w14:textId="0F4C6B1B" w:rsidR="00442073" w:rsidRPr="00543839" w:rsidRDefault="001721F0" w:rsidP="00442073">
      <w:pPr>
        <w:rPr>
          <w:b/>
          <w:i/>
          <w:iCs/>
        </w:rPr>
      </w:pPr>
      <w:r>
        <w:rPr>
          <w:b/>
          <w:i/>
          <w:iCs/>
        </w:rPr>
        <w:t>Adjustment for CAST</w:t>
      </w:r>
    </w:p>
    <w:p w14:paraId="42D5CE26" w14:textId="68E9AE0A" w:rsidR="0014075E" w:rsidRDefault="00F01121" w:rsidP="00DB2CEF">
      <w:pPr>
        <w:rPr>
          <w:rFonts w:cs="Arial"/>
          <w:bCs/>
        </w:rPr>
      </w:pPr>
      <w:r>
        <w:rPr>
          <w:rFonts w:cs="Arial"/>
          <w:bCs/>
        </w:rPr>
        <w:t xml:space="preserve">The </w:t>
      </w:r>
      <w:hyperlink r:id="rId8" w:anchor=":~:text=The%20Climate%2DAdapted%20Seed%20Tool,features%20are%20limited%20to%20California." w:history="1">
        <w:r w:rsidRPr="00D32C6B">
          <w:rPr>
            <w:rStyle w:val="Hyperlink"/>
            <w:rFonts w:cs="Arial"/>
            <w:bCs/>
          </w:rPr>
          <w:t>Climate Adapted Seed Tool (CAST)</w:t>
        </w:r>
      </w:hyperlink>
      <w:r>
        <w:rPr>
          <w:rFonts w:cs="Arial"/>
          <w:bCs/>
        </w:rPr>
        <w:t xml:space="preserve"> is a seed transfer climate adaptation tool developed by CAL FIRE in collaboration with the USFS and UC Davis. </w:t>
      </w:r>
      <w:r w:rsidR="00E42229">
        <w:rPr>
          <w:rFonts w:cs="Arial"/>
          <w:bCs/>
        </w:rPr>
        <w:t>The tool uses</w:t>
      </w:r>
      <w:r w:rsidR="0030732D">
        <w:rPr>
          <w:rFonts w:cs="Arial"/>
          <w:bCs/>
        </w:rPr>
        <w:t xml:space="preserve"> provenance test sites to estimate</w:t>
      </w:r>
      <w:r w:rsidR="00E42229">
        <w:rPr>
          <w:rFonts w:cs="Arial"/>
          <w:bCs/>
        </w:rPr>
        <w:t xml:space="preserve"> the percent decline in productivity </w:t>
      </w:r>
      <w:r w:rsidR="00B123EE">
        <w:rPr>
          <w:rFonts w:cs="Arial"/>
          <w:bCs/>
        </w:rPr>
        <w:t xml:space="preserve">as one of the main metrics </w:t>
      </w:r>
      <w:r w:rsidR="00E42229">
        <w:rPr>
          <w:rFonts w:cs="Arial"/>
          <w:bCs/>
        </w:rPr>
        <w:t xml:space="preserve">to </w:t>
      </w:r>
      <w:r w:rsidR="00B123EE">
        <w:rPr>
          <w:rFonts w:cs="Arial"/>
          <w:bCs/>
        </w:rPr>
        <w:t xml:space="preserve">assess which alternative seed sources are pre-adapted to the climates of planting sites. Percent decline in productivity is the percent decline in tree volume or biomass that managers should expect due to using a seed source that is not well adapted to the climate the trees will grow in. </w:t>
      </w:r>
    </w:p>
    <w:p w14:paraId="6C3242A6" w14:textId="77777777" w:rsidR="00B83079" w:rsidRDefault="00B83079" w:rsidP="00DB2CEF">
      <w:pPr>
        <w:rPr>
          <w:rFonts w:cs="Arial"/>
          <w:bCs/>
        </w:rPr>
      </w:pPr>
    </w:p>
    <w:p w14:paraId="121FA167" w14:textId="77777777" w:rsidR="00B83079" w:rsidRDefault="0014075E" w:rsidP="00DB2CEF">
      <w:pPr>
        <w:rPr>
          <w:rFonts w:cs="Arial"/>
          <w:bCs/>
        </w:rPr>
      </w:pPr>
      <w:r>
        <w:rPr>
          <w:rFonts w:cs="Arial"/>
          <w:bCs/>
        </w:rPr>
        <w:t xml:space="preserve">Due to the predictive nature of this tool, there is a risk to the customer if alternative seed sources are used based on CAST recommendations. </w:t>
      </w:r>
      <w:r w:rsidR="00B83079">
        <w:rPr>
          <w:rFonts w:cs="Arial"/>
          <w:bCs/>
        </w:rPr>
        <w:t xml:space="preserve">Should the customer accept these alternative seeds, a 20% discount will be given to the customer. </w:t>
      </w:r>
    </w:p>
    <w:p w14:paraId="4B78B701" w14:textId="77777777" w:rsidR="00B83079" w:rsidRDefault="00B83079" w:rsidP="00DB2CEF">
      <w:pPr>
        <w:rPr>
          <w:rFonts w:cs="Arial"/>
          <w:bCs/>
        </w:rPr>
      </w:pPr>
    </w:p>
    <w:p w14:paraId="145A4DD2" w14:textId="77777777" w:rsidR="002C4679" w:rsidRDefault="002C4679" w:rsidP="00B83079">
      <w:pPr>
        <w:rPr>
          <w:b/>
          <w:i/>
          <w:iCs/>
        </w:rPr>
      </w:pPr>
    </w:p>
    <w:p w14:paraId="464AA915" w14:textId="66A99F8A" w:rsidR="00B83079" w:rsidRDefault="00B83079" w:rsidP="00B83079">
      <w:pPr>
        <w:rPr>
          <w:b/>
          <w:i/>
          <w:iCs/>
        </w:rPr>
      </w:pPr>
      <w:r>
        <w:rPr>
          <w:b/>
          <w:i/>
          <w:iCs/>
        </w:rPr>
        <w:t>Price change tables</w:t>
      </w:r>
    </w:p>
    <w:p w14:paraId="0DFC1F9A" w14:textId="1EE88C22" w:rsidR="00B83079" w:rsidRPr="00B83079" w:rsidRDefault="00B83079" w:rsidP="00B83079">
      <w:pPr>
        <w:rPr>
          <w:bCs/>
        </w:rPr>
      </w:pPr>
      <w:r>
        <w:rPr>
          <w:bCs/>
        </w:rPr>
        <w:t xml:space="preserve">Below are the price change tables with our current pricing on the left and the proposed prices highlighted in yellow on the right. </w:t>
      </w:r>
    </w:p>
    <w:p w14:paraId="7F0A2AB7" w14:textId="28939CB1" w:rsidR="006B6DB7" w:rsidRPr="00603ACB" w:rsidRDefault="006B6DB7" w:rsidP="00DB2CEF">
      <w:pPr>
        <w:rPr>
          <w:rFonts w:cs="Arial"/>
        </w:rPr>
      </w:pPr>
      <w:r w:rsidRPr="006B6DB7">
        <w:rPr>
          <w:noProof/>
        </w:rPr>
        <w:lastRenderedPageBreak/>
        <w:drawing>
          <wp:inline distT="0" distB="0" distL="0" distR="0" wp14:anchorId="3A913E89" wp14:editId="78F53316">
            <wp:extent cx="5943600" cy="7858125"/>
            <wp:effectExtent l="0" t="0" r="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DB7" w:rsidRPr="00603ACB" w:rsidSect="002C4679">
      <w:footerReference w:type="default" r:id="rId10"/>
      <w:type w:val="continuous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6397" w14:textId="77777777" w:rsidR="003070B5" w:rsidRDefault="003070B5">
      <w:pPr>
        <w:spacing w:line="240" w:lineRule="auto"/>
      </w:pPr>
      <w:r>
        <w:separator/>
      </w:r>
    </w:p>
  </w:endnote>
  <w:endnote w:type="continuationSeparator" w:id="0">
    <w:p w14:paraId="32DBEAE0" w14:textId="77777777" w:rsidR="003070B5" w:rsidRDefault="00307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8130" w14:textId="77777777" w:rsidR="00D11B30" w:rsidRDefault="00C17F20" w:rsidP="00ED0662">
    <w:pPr>
      <w:pStyle w:val="Footer"/>
      <w:jc w:val="center"/>
      <w:rPr>
        <w:rFonts w:eastAsia="Calibri"/>
        <w:i/>
        <w:sz w:val="16"/>
      </w:rPr>
    </w:pPr>
    <w:r w:rsidRPr="00B75336">
      <w:rPr>
        <w:rFonts w:eastAsia="Calibri"/>
        <w:i/>
        <w:sz w:val="16"/>
      </w:rPr>
      <w:t>“The Department of Forestry and Fire Protection serves and safeguards the people and protects the property and resources of California.”</w:t>
    </w:r>
  </w:p>
  <w:p w14:paraId="318DF611" w14:textId="49717634" w:rsidR="008D431E" w:rsidRPr="008D431E" w:rsidRDefault="00C17F20" w:rsidP="00ED0662">
    <w:pPr>
      <w:pStyle w:val="Footer"/>
      <w:jc w:val="center"/>
      <w:rPr>
        <w:rFonts w:eastAsia="Calibri"/>
        <w:sz w:val="16"/>
      </w:rPr>
    </w:pPr>
    <w:r>
      <w:rPr>
        <w:rFonts w:eastAsia="Calibri"/>
        <w:i/>
        <w:sz w:val="16"/>
      </w:rPr>
      <w:tab/>
    </w:r>
    <w:r>
      <w:rPr>
        <w:rFonts w:eastAsia="Calibri"/>
        <w:i/>
        <w:sz w:val="16"/>
      </w:rPr>
      <w:tab/>
    </w:r>
    <w:r w:rsidRPr="008D431E">
      <w:rPr>
        <w:rFonts w:eastAsia="Calibri"/>
        <w:sz w:val="16"/>
      </w:rPr>
      <w:t xml:space="preserve">MGMT </w:t>
    </w:r>
    <w:r w:rsidR="00173655">
      <w:rPr>
        <w:rFonts w:eastAsia="Calibri"/>
        <w:sz w:val="16"/>
      </w:rPr>
      <w:t>2</w:t>
    </w:r>
    <w:r w:rsidRPr="008D431E">
      <w:rPr>
        <w:rFonts w:eastAsia="Calibri"/>
        <w:sz w:val="16"/>
      </w:rPr>
      <w:t>(a)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6903" w14:textId="77777777" w:rsidR="003070B5" w:rsidRDefault="003070B5">
      <w:pPr>
        <w:spacing w:line="240" w:lineRule="auto"/>
      </w:pPr>
      <w:r>
        <w:separator/>
      </w:r>
    </w:p>
  </w:footnote>
  <w:footnote w:type="continuationSeparator" w:id="0">
    <w:p w14:paraId="05895E9B" w14:textId="77777777" w:rsidR="003070B5" w:rsidRDefault="003070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D36E0"/>
    <w:multiLevelType w:val="hybridMultilevel"/>
    <w:tmpl w:val="8A4AD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80FE7"/>
    <w:multiLevelType w:val="hybridMultilevel"/>
    <w:tmpl w:val="A9A0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31927">
    <w:abstractNumId w:val="0"/>
  </w:num>
  <w:num w:numId="2" w16cid:durableId="661930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H9rEPl4zIn9cVF9UqFWjsQJX9tQVO3ct4AVJ3MPqcKRFwffNUf65IsAEWBBhv6YIzravPmRvaiiuooYhsgV2w==" w:salt="N88wQgCJG5Gon1rW/NMc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59"/>
    <w:rsid w:val="00012C0C"/>
    <w:rsid w:val="000156DC"/>
    <w:rsid w:val="00022E63"/>
    <w:rsid w:val="000276F5"/>
    <w:rsid w:val="00041434"/>
    <w:rsid w:val="00041C85"/>
    <w:rsid w:val="00044E22"/>
    <w:rsid w:val="00065BCD"/>
    <w:rsid w:val="000C3FD9"/>
    <w:rsid w:val="000E23F5"/>
    <w:rsid w:val="0014075E"/>
    <w:rsid w:val="001505F8"/>
    <w:rsid w:val="001721F0"/>
    <w:rsid w:val="00173655"/>
    <w:rsid w:val="00174A49"/>
    <w:rsid w:val="001778B4"/>
    <w:rsid w:val="001859D3"/>
    <w:rsid w:val="001A4225"/>
    <w:rsid w:val="001B24BC"/>
    <w:rsid w:val="001B5430"/>
    <w:rsid w:val="001D1FA9"/>
    <w:rsid w:val="001E1E0B"/>
    <w:rsid w:val="002050B2"/>
    <w:rsid w:val="002261D6"/>
    <w:rsid w:val="002550F7"/>
    <w:rsid w:val="00286680"/>
    <w:rsid w:val="00286976"/>
    <w:rsid w:val="0029751F"/>
    <w:rsid w:val="002A30B0"/>
    <w:rsid w:val="002B5435"/>
    <w:rsid w:val="002B7F09"/>
    <w:rsid w:val="002C4679"/>
    <w:rsid w:val="002D315D"/>
    <w:rsid w:val="002D3395"/>
    <w:rsid w:val="002D6B07"/>
    <w:rsid w:val="002E62AF"/>
    <w:rsid w:val="002F1C2D"/>
    <w:rsid w:val="002F638A"/>
    <w:rsid w:val="002F7D76"/>
    <w:rsid w:val="003070B5"/>
    <w:rsid w:val="0030732D"/>
    <w:rsid w:val="003159BD"/>
    <w:rsid w:val="00324904"/>
    <w:rsid w:val="003351FE"/>
    <w:rsid w:val="00341964"/>
    <w:rsid w:val="003B41F6"/>
    <w:rsid w:val="003E2DF2"/>
    <w:rsid w:val="003E4591"/>
    <w:rsid w:val="003E5DF3"/>
    <w:rsid w:val="00402F4C"/>
    <w:rsid w:val="0041236B"/>
    <w:rsid w:val="004154EE"/>
    <w:rsid w:val="00430BDC"/>
    <w:rsid w:val="00442073"/>
    <w:rsid w:val="00453182"/>
    <w:rsid w:val="00454F00"/>
    <w:rsid w:val="00483288"/>
    <w:rsid w:val="004D00AD"/>
    <w:rsid w:val="004D58DE"/>
    <w:rsid w:val="004E29AA"/>
    <w:rsid w:val="00521954"/>
    <w:rsid w:val="00536596"/>
    <w:rsid w:val="005448E5"/>
    <w:rsid w:val="0056523C"/>
    <w:rsid w:val="00574936"/>
    <w:rsid w:val="005773FC"/>
    <w:rsid w:val="0058358B"/>
    <w:rsid w:val="00587BA0"/>
    <w:rsid w:val="005A3022"/>
    <w:rsid w:val="005D57B5"/>
    <w:rsid w:val="005F17C7"/>
    <w:rsid w:val="005F2D59"/>
    <w:rsid w:val="00603ACB"/>
    <w:rsid w:val="00607F73"/>
    <w:rsid w:val="00614A9C"/>
    <w:rsid w:val="00620402"/>
    <w:rsid w:val="00635CE0"/>
    <w:rsid w:val="00636A2C"/>
    <w:rsid w:val="00640084"/>
    <w:rsid w:val="0065168C"/>
    <w:rsid w:val="00653D71"/>
    <w:rsid w:val="00676993"/>
    <w:rsid w:val="00683EAF"/>
    <w:rsid w:val="006918F1"/>
    <w:rsid w:val="00696413"/>
    <w:rsid w:val="006B6DB7"/>
    <w:rsid w:val="006E1D84"/>
    <w:rsid w:val="007123A0"/>
    <w:rsid w:val="0072152C"/>
    <w:rsid w:val="00741488"/>
    <w:rsid w:val="007678FC"/>
    <w:rsid w:val="007754BA"/>
    <w:rsid w:val="007A7ABC"/>
    <w:rsid w:val="007C318D"/>
    <w:rsid w:val="007F2AA9"/>
    <w:rsid w:val="007F4C63"/>
    <w:rsid w:val="00815CE5"/>
    <w:rsid w:val="00824333"/>
    <w:rsid w:val="00836D4C"/>
    <w:rsid w:val="008D486C"/>
    <w:rsid w:val="008E1B2F"/>
    <w:rsid w:val="009405B8"/>
    <w:rsid w:val="00975891"/>
    <w:rsid w:val="0098699C"/>
    <w:rsid w:val="00992B80"/>
    <w:rsid w:val="00993629"/>
    <w:rsid w:val="0099404C"/>
    <w:rsid w:val="009B6475"/>
    <w:rsid w:val="009D15CD"/>
    <w:rsid w:val="009E2EF1"/>
    <w:rsid w:val="00A00397"/>
    <w:rsid w:val="00A36253"/>
    <w:rsid w:val="00A534E8"/>
    <w:rsid w:val="00A6312D"/>
    <w:rsid w:val="00A95DD6"/>
    <w:rsid w:val="00AE48FD"/>
    <w:rsid w:val="00B123EE"/>
    <w:rsid w:val="00B26B09"/>
    <w:rsid w:val="00B419F5"/>
    <w:rsid w:val="00B54A02"/>
    <w:rsid w:val="00B621BE"/>
    <w:rsid w:val="00B67990"/>
    <w:rsid w:val="00B732DE"/>
    <w:rsid w:val="00B83079"/>
    <w:rsid w:val="00B913C5"/>
    <w:rsid w:val="00BC52E0"/>
    <w:rsid w:val="00BE732B"/>
    <w:rsid w:val="00C17F20"/>
    <w:rsid w:val="00C267FF"/>
    <w:rsid w:val="00C56E90"/>
    <w:rsid w:val="00C659A5"/>
    <w:rsid w:val="00C84CA9"/>
    <w:rsid w:val="00CA542B"/>
    <w:rsid w:val="00CB4A5C"/>
    <w:rsid w:val="00CD11EA"/>
    <w:rsid w:val="00CD317B"/>
    <w:rsid w:val="00CD4E9E"/>
    <w:rsid w:val="00CE7D2F"/>
    <w:rsid w:val="00CF5E27"/>
    <w:rsid w:val="00D16C93"/>
    <w:rsid w:val="00D32C6B"/>
    <w:rsid w:val="00D403C0"/>
    <w:rsid w:val="00D4345B"/>
    <w:rsid w:val="00D533E2"/>
    <w:rsid w:val="00DA66E0"/>
    <w:rsid w:val="00DA785C"/>
    <w:rsid w:val="00DB2CEF"/>
    <w:rsid w:val="00DF1620"/>
    <w:rsid w:val="00E06761"/>
    <w:rsid w:val="00E14832"/>
    <w:rsid w:val="00E25700"/>
    <w:rsid w:val="00E42229"/>
    <w:rsid w:val="00E44242"/>
    <w:rsid w:val="00E50181"/>
    <w:rsid w:val="00E616C2"/>
    <w:rsid w:val="00E86D0D"/>
    <w:rsid w:val="00EB5F9B"/>
    <w:rsid w:val="00EE622F"/>
    <w:rsid w:val="00EF56B8"/>
    <w:rsid w:val="00F01121"/>
    <w:rsid w:val="00F31622"/>
    <w:rsid w:val="00F45029"/>
    <w:rsid w:val="00FB15FD"/>
    <w:rsid w:val="00FB19CB"/>
    <w:rsid w:val="00FC2993"/>
    <w:rsid w:val="00FC2D47"/>
    <w:rsid w:val="00FD69B7"/>
    <w:rsid w:val="00FE6122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720481"/>
  <w15:chartTrackingRefBased/>
  <w15:docId w15:val="{6D99ACAA-CED7-4A7C-9C37-019ED8FD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079"/>
    <w:pPr>
      <w:spacing w:after="0" w:line="240" w:lineRule="atLeast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2D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D59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rsid w:val="005F2D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913C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D3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15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15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15D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6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2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CE5"/>
    <w:pPr>
      <w:spacing w:line="0" w:lineRule="atLeast"/>
      <w:ind w:left="720"/>
      <w:contextualSpacing/>
    </w:pPr>
  </w:style>
  <w:style w:type="paragraph" w:styleId="FootnoteText">
    <w:name w:val="footnote text"/>
    <w:basedOn w:val="Normal"/>
    <w:link w:val="FootnoteTextChar"/>
    <w:rsid w:val="00C84CA9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84CA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rsid w:val="00C84C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736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55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orestationtools.org/climate-adapted-seed-too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3A432-3FB8-430D-A1E9-FC7CDBC0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930</Words>
  <Characters>5304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Dawson@CALFIRE</dc:creator>
  <cp:keywords/>
  <dc:description/>
  <cp:lastModifiedBy>Kemp, Mazonika@BOF</cp:lastModifiedBy>
  <cp:revision>3</cp:revision>
  <dcterms:created xsi:type="dcterms:W3CDTF">2023-06-07T17:12:00Z</dcterms:created>
  <dcterms:modified xsi:type="dcterms:W3CDTF">2023-06-07T18:50:00Z</dcterms:modified>
</cp:coreProperties>
</file>