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854F8" w14:textId="0DA1EE6D" w:rsidR="00C562B1" w:rsidRDefault="005808E5" w:rsidP="00DC23ED">
      <w:pPr>
        <w:pStyle w:val="Subtitle"/>
      </w:pPr>
      <w:r>
        <w:t xml:space="preserve">Potential </w:t>
      </w:r>
      <w:r w:rsidR="004479D5">
        <w:t>Use of</w:t>
      </w:r>
      <w:r>
        <w:t xml:space="preserve"> White Paper on the Retention of Mature Tanoak</w:t>
      </w:r>
    </w:p>
    <w:p w14:paraId="56FD500B" w14:textId="6F63F1AB" w:rsidR="00C562B1" w:rsidRDefault="006C66B3" w:rsidP="002544CA">
      <w:r>
        <w:t>Th</w:t>
      </w:r>
      <w:r w:rsidR="002427D9">
        <w:t>e</w:t>
      </w:r>
      <w:r>
        <w:t xml:space="preserve"> white paper would be a summary of current research and information on the value of retaining mature tanoak as a component of a </w:t>
      </w:r>
      <w:r w:rsidR="00102546" w:rsidRPr="00102546">
        <w:t xml:space="preserve">redwood-Douglas fir-tanoak </w:t>
      </w:r>
      <w:r w:rsidR="00102546">
        <w:t>or</w:t>
      </w:r>
      <w:r w:rsidR="00102546" w:rsidRPr="00102546">
        <w:t xml:space="preserve"> Douglas fir-tanoak forest</w:t>
      </w:r>
      <w:r w:rsidR="00102546">
        <w:t xml:space="preserve">. </w:t>
      </w:r>
      <w:r w:rsidR="002427D9">
        <w:t>The</w:t>
      </w:r>
      <w:r w:rsidR="00102546">
        <w:t xml:space="preserve"> document could serve as a</w:t>
      </w:r>
      <w:r w:rsidR="00DE67A1">
        <w:t xml:space="preserve"> source for </w:t>
      </w:r>
      <w:r>
        <w:t>Plan Submitters to use in the Cumulative Impacts Assessment</w:t>
      </w:r>
      <w:r w:rsidR="00F965A6">
        <w:t xml:space="preserve">, particularly </w:t>
      </w:r>
      <w:r w:rsidR="006C050D">
        <w:t>under the evaluation of impacts to Biological Resources.</w:t>
      </w:r>
      <w:r w:rsidR="003D103F">
        <w:t xml:space="preserve"> </w:t>
      </w:r>
      <w:proofErr w:type="gramStart"/>
      <w:r w:rsidR="002427D9">
        <w:t>Tanoak</w:t>
      </w:r>
      <w:proofErr w:type="gramEnd"/>
      <w:r w:rsidR="006F417A">
        <w:t xml:space="preserve"> provide</w:t>
      </w:r>
      <w:r w:rsidR="003D103F">
        <w:t xml:space="preserve"> acorn crops </w:t>
      </w:r>
      <w:r w:rsidR="006F417A">
        <w:t>that are</w:t>
      </w:r>
      <w:r w:rsidR="003D103F">
        <w:t xml:space="preserve"> a </w:t>
      </w:r>
      <w:r w:rsidR="009F4F18">
        <w:t xml:space="preserve">forage source for multiple species, </w:t>
      </w:r>
      <w:r w:rsidR="006F417A">
        <w:t>are</w:t>
      </w:r>
      <w:r w:rsidR="009F4F18">
        <w:t xml:space="preserve"> a source of multi-story canopy, </w:t>
      </w:r>
      <w:r w:rsidR="003854C2">
        <w:t xml:space="preserve">and </w:t>
      </w:r>
      <w:r w:rsidR="006F417A">
        <w:t>are</w:t>
      </w:r>
      <w:r w:rsidR="003854C2">
        <w:t xml:space="preserve"> a component of hardwood species within </w:t>
      </w:r>
      <w:r w:rsidR="006F417A">
        <w:t>California</w:t>
      </w:r>
      <w:r w:rsidR="003854C2">
        <w:t xml:space="preserve"> forest</w:t>
      </w:r>
      <w:r w:rsidR="006F417A">
        <w:t>s</w:t>
      </w:r>
      <w:r w:rsidR="003854C2">
        <w:t xml:space="preserve">. </w:t>
      </w:r>
      <w:r w:rsidR="002544CA">
        <w:t>A resource alerting Registered Professional Foresters to the importance</w:t>
      </w:r>
      <w:r w:rsidR="008A21DF">
        <w:t xml:space="preserve"> </w:t>
      </w:r>
      <w:r w:rsidR="002544CA">
        <w:t>of mature tanoak</w:t>
      </w:r>
      <w:r w:rsidR="008A21DF">
        <w:t xml:space="preserve"> </w:t>
      </w:r>
      <w:r w:rsidR="006F417A">
        <w:t>as a habitat component</w:t>
      </w:r>
      <w:r w:rsidR="002544CA">
        <w:t xml:space="preserve"> may result in those trees being retained more frequently, either as a component in uneven-aged management </w:t>
      </w:r>
      <w:r w:rsidR="002365A5">
        <w:t xml:space="preserve">or intermediate treatments </w:t>
      </w:r>
      <w:r w:rsidR="002544CA">
        <w:t>under §913.11(c)</w:t>
      </w:r>
      <w:r w:rsidR="008D5440">
        <w:t xml:space="preserve">, </w:t>
      </w:r>
      <w:r w:rsidR="002544CA">
        <w:t xml:space="preserve">through </w:t>
      </w:r>
      <w:r w:rsidR="008A21DF">
        <w:t xml:space="preserve">the </w:t>
      </w:r>
      <w:r w:rsidR="002544CA">
        <w:t>variable retention special prescription</w:t>
      </w:r>
      <w:r w:rsidR="008A21DF">
        <w:t xml:space="preserve"> under §913.4(d)</w:t>
      </w:r>
      <w:r w:rsidR="008D5440">
        <w:t>, or via a new regulatory pathway</w:t>
      </w:r>
      <w:r w:rsidR="002544CA">
        <w:t xml:space="preserve">.  </w:t>
      </w:r>
    </w:p>
    <w:p w14:paraId="38C1329E" w14:textId="2EA04ED7" w:rsidR="006154BF" w:rsidRDefault="00DC23ED" w:rsidP="00DC23ED">
      <w:pPr>
        <w:pStyle w:val="Subtitle"/>
      </w:pPr>
      <w:r>
        <w:t>Summary of Rules Overview on Tanoak</w:t>
      </w:r>
      <w:r w:rsidR="00A7020B">
        <w:t xml:space="preserve"> as Compared to Oaks in the genus </w:t>
      </w:r>
      <w:r w:rsidR="00A7020B">
        <w:rPr>
          <w:i/>
          <w:iCs/>
        </w:rPr>
        <w:t>Quercus</w:t>
      </w:r>
      <w:r>
        <w:t>:</w:t>
      </w:r>
    </w:p>
    <w:p w14:paraId="14DBDBCA" w14:textId="0A751BD0" w:rsidR="004A1F95" w:rsidRDefault="004A1F95" w:rsidP="004A1F95">
      <w:r>
        <w:t>Tanoak is a Group B Commercial Species in all forest districts. Black oak is also a</w:t>
      </w:r>
      <w:r w:rsidRPr="00183F41">
        <w:t xml:space="preserve"> </w:t>
      </w:r>
      <w:r>
        <w:t xml:space="preserve">Group B Commercial Species in all forest districts, while Oregon white oak is a Group B Commercial Species in the Coast and </w:t>
      </w:r>
      <w:proofErr w:type="gramStart"/>
      <w:r>
        <w:t>Northern forest</w:t>
      </w:r>
      <w:proofErr w:type="gramEnd"/>
      <w:r>
        <w:t xml:space="preserve"> districts. There are 21 total true oak species in California, of which 14 are trees – no other species of oak is a Commercial Species.  </w:t>
      </w:r>
    </w:p>
    <w:p w14:paraId="32EC2E14" w14:textId="4C3101D2" w:rsidR="001B1621" w:rsidRDefault="001B1621">
      <w:r>
        <w:t xml:space="preserve">The rules have protections for black oak and white oak </w:t>
      </w:r>
      <w:r w:rsidR="00183F41">
        <w:t xml:space="preserve">to restore or preserve </w:t>
      </w:r>
      <w:proofErr w:type="gramStart"/>
      <w:r w:rsidR="00183F41">
        <w:t>single-species</w:t>
      </w:r>
      <w:proofErr w:type="gramEnd"/>
      <w:r w:rsidR="00183F41">
        <w:t xml:space="preserve"> stands within oak woodlands (§913.4 [§933.4, §953.4] (f) White and Black Oak Woodland Management and §1038(e) Oak Woodland Management Exemption. Preservation of tanoak under similar conditions does not replicate natural stand conditions, creates circumstances where Sudden Oak Death can spread more rapidly, and does not provide the habitat advantages that incentivizing the growth of mature tanoak aims to address. </w:t>
      </w:r>
      <w:r w:rsidR="00ED2AD2">
        <w:t xml:space="preserve"> </w:t>
      </w:r>
    </w:p>
    <w:p w14:paraId="6476B41E" w14:textId="3697E56C" w:rsidR="004A1F95" w:rsidRDefault="004A1F95">
      <w:r>
        <w:t>S</w:t>
      </w:r>
      <w:r w:rsidR="00ED2AD2">
        <w:t>udden Oak Death</w:t>
      </w:r>
      <w:r>
        <w:t xml:space="preserve"> provisions </w:t>
      </w:r>
      <w:r w:rsidR="00ED2AD2">
        <w:t>under § 1052.5. Emergency Notice for Outbreaks of Sudden Oak Death Disease</w:t>
      </w:r>
      <w:r w:rsidR="0018655D">
        <w:t xml:space="preserve"> apply to all host hardwood species</w:t>
      </w:r>
      <w:r w:rsidR="0016578D">
        <w:t>, this includes tanoak, black oak, Pacific madrone, and California laurel/pepperwood.</w:t>
      </w:r>
    </w:p>
    <w:p w14:paraId="24D2127F" w14:textId="2E1BAB91" w:rsidR="00ED2AD2" w:rsidRDefault="00ED2AD2">
      <w:r>
        <w:t>Under § 959.15 Protection of Wildlife Habitat [Southern]</w:t>
      </w:r>
      <w:r w:rsidR="0016578D">
        <w:t xml:space="preserve">, 400 sq. ft. basal area of oak per 40 acres, if present at the time of timber harvest, should be retained and protected. Preference is given to deciduous oaks (a group that includes black oak, Oregon white oak, blue oak, and valley oak). </w:t>
      </w:r>
      <w:r w:rsidR="00BD5A48">
        <w:t>Oaks should be retained on deer migration corridors, holding areas, or key ranges, as designated by CDFW</w:t>
      </w:r>
      <w:r w:rsidR="00A7020B">
        <w:t>, emphasizing the role of mast production supporting wildlife habitat</w:t>
      </w:r>
      <w:r w:rsidR="00BD5A48">
        <w:t xml:space="preserve">. </w:t>
      </w:r>
      <w:r w:rsidR="00A7020B">
        <w:t xml:space="preserve">This rule </w:t>
      </w:r>
      <w:r w:rsidR="002347E8">
        <w:t>does not include tanoak.</w:t>
      </w:r>
      <w:r w:rsidR="00A7020B">
        <w:t xml:space="preserve"> </w:t>
      </w:r>
    </w:p>
    <w:p w14:paraId="64F3187D" w14:textId="2D9EE185" w:rsidR="00ED2AD2" w:rsidRDefault="00ED2AD2" w:rsidP="00ED2AD2">
      <w:r>
        <w:t>PRC § 4621</w:t>
      </w:r>
      <w:r w:rsidR="00C562B1">
        <w:t xml:space="preserve">, </w:t>
      </w:r>
      <w:r>
        <w:t xml:space="preserve">Conversion identifies “restoration and conservation forest management activities” that allow the removal of commercial species if necessary to achieve specific forest health and ecological goals. These goals specifically include “oak woodlands” as a habitat where removing commercial species is permitted, although other “ecologically important or unique habitats” can also meet the standards for “growing of timber”. </w:t>
      </w:r>
    </w:p>
    <w:p w14:paraId="21A8D1F2" w14:textId="2A1C8E41" w:rsidR="006B7B3D" w:rsidRDefault="006B7B3D" w:rsidP="00381495">
      <w:pPr>
        <w:pStyle w:val="Subtitle"/>
      </w:pPr>
      <w:r>
        <w:t xml:space="preserve">Other </w:t>
      </w:r>
      <w:r w:rsidR="0055193F">
        <w:t>Rule Text C</w:t>
      </w:r>
      <w:r>
        <w:t>onsiderations</w:t>
      </w:r>
    </w:p>
    <w:p w14:paraId="5474362B" w14:textId="6C066B3E" w:rsidR="001D77AC" w:rsidRDefault="00381495" w:rsidP="001D77AC">
      <w:pPr>
        <w:spacing w:after="240"/>
        <w:rPr>
          <w:rFonts w:eastAsia="Times New Roman"/>
          <w:color w:val="000000"/>
        </w:rPr>
      </w:pPr>
      <w:r>
        <w:lastRenderedPageBreak/>
        <w:t xml:space="preserve">§ </w:t>
      </w:r>
      <w:r w:rsidR="006B7B3D" w:rsidRPr="006B7B3D">
        <w:rPr>
          <w:rFonts w:eastAsia="Times New Roman"/>
          <w:color w:val="000000"/>
        </w:rPr>
        <w:t>912.7</w:t>
      </w:r>
      <w:r>
        <w:rPr>
          <w:rFonts w:eastAsia="Times New Roman"/>
          <w:color w:val="000000"/>
        </w:rPr>
        <w:t>(b)</w:t>
      </w:r>
      <w:r w:rsidRPr="006B7B3D">
        <w:rPr>
          <w:rFonts w:eastAsia="Times New Roman"/>
          <w:color w:val="000000"/>
        </w:rPr>
        <w:t>(3)</w:t>
      </w:r>
      <w:r w:rsidR="006B7B3D" w:rsidRPr="006B7B3D">
        <w:rPr>
          <w:rFonts w:eastAsia="Times New Roman"/>
          <w:color w:val="000000"/>
        </w:rPr>
        <w:t xml:space="preserve">, </w:t>
      </w:r>
      <w:r>
        <w:rPr>
          <w:rFonts w:eastAsia="Times New Roman"/>
          <w:color w:val="000000"/>
        </w:rPr>
        <w:t>[</w:t>
      </w:r>
      <w:r>
        <w:t xml:space="preserve">§ </w:t>
      </w:r>
      <w:r w:rsidR="006B7B3D" w:rsidRPr="006B7B3D">
        <w:rPr>
          <w:rFonts w:eastAsia="Times New Roman"/>
          <w:color w:val="000000"/>
        </w:rPr>
        <w:t>932.7</w:t>
      </w:r>
      <w:r>
        <w:rPr>
          <w:rFonts w:eastAsia="Times New Roman"/>
          <w:color w:val="000000"/>
        </w:rPr>
        <w:t>(b)</w:t>
      </w:r>
      <w:r w:rsidRPr="006B7B3D">
        <w:rPr>
          <w:rFonts w:eastAsia="Times New Roman"/>
          <w:color w:val="000000"/>
        </w:rPr>
        <w:t>(3)</w:t>
      </w:r>
      <w:r w:rsidR="006B7B3D" w:rsidRPr="006B7B3D">
        <w:rPr>
          <w:rFonts w:eastAsia="Times New Roman"/>
          <w:color w:val="000000"/>
        </w:rPr>
        <w:t xml:space="preserve">, </w:t>
      </w:r>
      <w:r>
        <w:t xml:space="preserve">§ </w:t>
      </w:r>
      <w:r w:rsidR="006B7B3D" w:rsidRPr="006B7B3D">
        <w:rPr>
          <w:rFonts w:eastAsia="Times New Roman"/>
          <w:color w:val="000000"/>
        </w:rPr>
        <w:t>952.7</w:t>
      </w:r>
      <w:r>
        <w:rPr>
          <w:rFonts w:eastAsia="Times New Roman"/>
          <w:color w:val="000000"/>
        </w:rPr>
        <w:t>(b)</w:t>
      </w:r>
      <w:r w:rsidRPr="006B7B3D">
        <w:rPr>
          <w:rFonts w:eastAsia="Times New Roman"/>
          <w:color w:val="000000"/>
        </w:rPr>
        <w:t>(3)</w:t>
      </w:r>
      <w:r>
        <w:rPr>
          <w:rFonts w:eastAsia="Times New Roman"/>
          <w:color w:val="000000"/>
        </w:rPr>
        <w:t>]</w:t>
      </w:r>
      <w:r w:rsidRPr="006B7B3D">
        <w:rPr>
          <w:rFonts w:eastAsia="Times New Roman"/>
          <w:color w:val="000000"/>
        </w:rPr>
        <w:t xml:space="preserve"> </w:t>
      </w:r>
      <w:r w:rsidR="006B7B3D" w:rsidRPr="006B7B3D">
        <w:rPr>
          <w:rFonts w:eastAsia="Times New Roman"/>
          <w:color w:val="000000"/>
        </w:rPr>
        <w:t xml:space="preserve">Resource Conservation Standards for Minimum Stocking </w:t>
      </w:r>
      <w:r w:rsidR="00DB236C">
        <w:rPr>
          <w:rFonts w:eastAsia="Times New Roman"/>
          <w:color w:val="000000"/>
        </w:rPr>
        <w:t>states</w:t>
      </w:r>
      <w:r w:rsidR="001D77AC" w:rsidRPr="006B7B3D">
        <w:rPr>
          <w:rFonts w:eastAsia="Times New Roman"/>
          <w:color w:val="000000"/>
        </w:rPr>
        <w:t xml:space="preserve"> </w:t>
      </w:r>
      <w:r w:rsidR="00DB236C">
        <w:rPr>
          <w:rFonts w:eastAsia="Times New Roman"/>
          <w:color w:val="000000"/>
        </w:rPr>
        <w:t>“</w:t>
      </w:r>
      <w:r w:rsidR="001D77AC" w:rsidRPr="006B7B3D">
        <w:rPr>
          <w:rFonts w:eastAsia="Times New Roman"/>
          <w:color w:val="000000"/>
        </w:rPr>
        <w:t>To the extent basal area standards are specified in the Rules in excess of 14 CCR § 912.7(b)(2) [932.7(b)(2), 952.7(b)(2)], up to fifteen (15) square feet of basal area of those standards higher than the minimum may be met by counting snags, and decadent or deformed trees of value to wildlife. The minimum size shall be twenty (20) inches or greater d.b.h. and twenty (20) feet or greater in height.</w:t>
      </w:r>
      <w:r w:rsidR="00DB236C">
        <w:rPr>
          <w:rFonts w:eastAsia="Times New Roman"/>
          <w:color w:val="000000"/>
        </w:rPr>
        <w:t>”</w:t>
      </w:r>
    </w:p>
    <w:p w14:paraId="2ACDFFED" w14:textId="3AB74BB5" w:rsidR="005B36E9" w:rsidRPr="0055193F" w:rsidRDefault="005B36E9" w:rsidP="005B36E9">
      <w:pPr>
        <w:rPr>
          <w:rFonts w:eastAsia="Times New Roman"/>
          <w:color w:val="000000"/>
        </w:rPr>
      </w:pPr>
      <w:r>
        <w:t xml:space="preserve">Under § </w:t>
      </w:r>
      <w:r>
        <w:rPr>
          <w:rFonts w:eastAsia="Times New Roman"/>
          <w:color w:val="000000"/>
        </w:rPr>
        <w:t>913.11</w:t>
      </w:r>
      <w:r w:rsidR="0055193F">
        <w:rPr>
          <w:rFonts w:eastAsia="Times New Roman"/>
          <w:color w:val="000000"/>
        </w:rPr>
        <w:t>(c)</w:t>
      </w:r>
      <w:r>
        <w:rPr>
          <w:rFonts w:eastAsia="Times New Roman"/>
          <w:color w:val="000000"/>
        </w:rPr>
        <w:t>, hardwood trees can be used to meet stocking requirements in uneven-aged management and intermediate treatments</w:t>
      </w:r>
      <w:r w:rsidR="0055193F">
        <w:rPr>
          <w:rFonts w:eastAsia="Times New Roman"/>
          <w:color w:val="000000"/>
        </w:rPr>
        <w:t>:</w:t>
      </w:r>
    </w:p>
    <w:p w14:paraId="3BDFE4FD" w14:textId="0E088D97" w:rsidR="005B36E9" w:rsidRPr="0055193F" w:rsidRDefault="0055193F" w:rsidP="006C050D">
      <w:pPr>
        <w:ind w:firstLine="720"/>
        <w:rPr>
          <w:rFonts w:eastAsia="Times New Roman"/>
          <w:sz w:val="24"/>
          <w:szCs w:val="24"/>
        </w:rPr>
      </w:pPr>
      <w:r>
        <w:rPr>
          <w:rFonts w:eastAsia="Times New Roman"/>
          <w:color w:val="000000"/>
        </w:rPr>
        <w:t>“</w:t>
      </w:r>
      <w:r w:rsidR="005B36E9" w:rsidRPr="0055193F">
        <w:rPr>
          <w:rFonts w:eastAsia="Times New Roman"/>
          <w:color w:val="000000"/>
        </w:rPr>
        <w:t>(c) In a THP, NTMP, or WFMP, MSP is achieved by:</w:t>
      </w:r>
    </w:p>
    <w:p w14:paraId="1760991A" w14:textId="77777777" w:rsidR="005B36E9" w:rsidRPr="0055193F" w:rsidRDefault="005B36E9" w:rsidP="006C050D">
      <w:pPr>
        <w:ind w:left="720"/>
        <w:rPr>
          <w:rFonts w:eastAsia="Times New Roman"/>
        </w:rPr>
      </w:pPr>
      <w:r w:rsidRPr="0055193F">
        <w:rPr>
          <w:rFonts w:eastAsia="Times New Roman"/>
          <w:color w:val="000000"/>
        </w:rPr>
        <w:t>(1) For evenage management, meeting the minimum stand age standards of 14 CCR § 913.1(a)(1), meeting minimum stocking and basal area standards for the selected silvicultural methods as contained in these Rules only with group A species, and protecting the soil, air, fish and wildlife, water resources and other public trust resources through the application of these Rules; or</w:t>
      </w:r>
    </w:p>
    <w:p w14:paraId="6FDE3017" w14:textId="77777777" w:rsidR="005B36E9" w:rsidRPr="0055193F" w:rsidRDefault="005B36E9" w:rsidP="006C050D">
      <w:pPr>
        <w:ind w:left="720"/>
        <w:rPr>
          <w:rFonts w:eastAsia="Times New Roman"/>
        </w:rPr>
      </w:pPr>
      <w:r w:rsidRPr="0055193F">
        <w:rPr>
          <w:rFonts w:eastAsia="Times New Roman"/>
          <w:color w:val="000000"/>
        </w:rPr>
        <w:t>(2) For unevenaged management, meeting minimum stocking and basal area standards for the selected silvicultural methods as contained in these Rules, and protecting the soil, air, fish and wildlife, water resources and other public trust resources through the application of these Rules.</w:t>
      </w:r>
    </w:p>
    <w:p w14:paraId="39E7E4A8" w14:textId="5460A2DA" w:rsidR="005B36E9" w:rsidRPr="0055193F" w:rsidRDefault="005B36E9" w:rsidP="006C050D">
      <w:pPr>
        <w:ind w:left="720"/>
        <w:rPr>
          <w:rFonts w:eastAsia="Times New Roman"/>
        </w:rPr>
      </w:pPr>
      <w:r w:rsidRPr="0055193F">
        <w:rPr>
          <w:rFonts w:eastAsia="Times New Roman"/>
          <w:color w:val="000000"/>
        </w:rPr>
        <w:t>(3) For intermediate treatments and special prescriptions, complying with the stocking requirements of the individual treatment or prescription.</w:t>
      </w:r>
      <w:r w:rsidR="0055193F">
        <w:rPr>
          <w:rFonts w:eastAsia="Times New Roman"/>
          <w:color w:val="000000"/>
        </w:rPr>
        <w:t>”</w:t>
      </w:r>
    </w:p>
    <w:p w14:paraId="670953D6" w14:textId="0F9D11CA" w:rsidR="006154BF" w:rsidRDefault="006C050D">
      <w:r>
        <w:rPr>
          <w:rFonts w:eastAsia="Times New Roman"/>
        </w:rPr>
        <w:t xml:space="preserve">Under </w:t>
      </w:r>
      <w:r>
        <w:t>§</w:t>
      </w:r>
      <w:r w:rsidR="000861AF">
        <w:t>913.4</w:t>
      </w:r>
      <w:r w:rsidR="00D17AF4">
        <w:t xml:space="preserve">(d), Variable Retention, structural elements or biological from the pre-harvest stand for integration are retained in the post-harvest stand to achieve various ecological, social and geomorphic objectives. </w:t>
      </w:r>
      <w:r w:rsidR="009A1607">
        <w:t>The existing rules</w:t>
      </w:r>
    </w:p>
    <w:sectPr w:rsidR="00615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D59AF" w14:textId="77777777" w:rsidR="00FD02CE" w:rsidRDefault="00FD02CE" w:rsidP="00FD02CE">
      <w:pPr>
        <w:spacing w:after="0" w:line="240" w:lineRule="auto"/>
      </w:pPr>
      <w:r>
        <w:separator/>
      </w:r>
    </w:p>
  </w:endnote>
  <w:endnote w:type="continuationSeparator" w:id="0">
    <w:p w14:paraId="340AE454" w14:textId="77777777" w:rsidR="00FD02CE" w:rsidRDefault="00FD02CE" w:rsidP="00FD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DB62" w14:textId="77777777" w:rsidR="00FD02CE" w:rsidRDefault="00FD02CE" w:rsidP="00FD02CE">
      <w:pPr>
        <w:spacing w:after="0" w:line="240" w:lineRule="auto"/>
      </w:pPr>
      <w:r>
        <w:separator/>
      </w:r>
    </w:p>
  </w:footnote>
  <w:footnote w:type="continuationSeparator" w:id="0">
    <w:p w14:paraId="15930993" w14:textId="77777777" w:rsidR="00FD02CE" w:rsidRDefault="00FD02CE" w:rsidP="00FD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77D8B" w14:textId="00F60703" w:rsidR="00FD02CE" w:rsidRDefault="00FD02CE">
    <w:pPr>
      <w:pStyle w:val="Header"/>
    </w:pPr>
    <w:r>
      <w:t>June 17,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B22A7"/>
    <w:multiLevelType w:val="hybridMultilevel"/>
    <w:tmpl w:val="D58E332A"/>
    <w:lvl w:ilvl="0" w:tplc="9F9A8474">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05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fhzu11BN34dmUCu+CgRBFOEo6ohzP6k+vv/JrkwlyeM7/HLq9lF/mfMttpnAYol6Pe7+5iCaK3MYip1SOKguQ==" w:salt="xZzBPgMjr91/9LLNwht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7A"/>
    <w:rsid w:val="000861AF"/>
    <w:rsid w:val="00102546"/>
    <w:rsid w:val="0016578D"/>
    <w:rsid w:val="001820EE"/>
    <w:rsid w:val="00183F41"/>
    <w:rsid w:val="0018655D"/>
    <w:rsid w:val="00192148"/>
    <w:rsid w:val="001B1621"/>
    <w:rsid w:val="001D77AC"/>
    <w:rsid w:val="002347E8"/>
    <w:rsid w:val="002365A5"/>
    <w:rsid w:val="002427D9"/>
    <w:rsid w:val="002544CA"/>
    <w:rsid w:val="0029229F"/>
    <w:rsid w:val="002C1B59"/>
    <w:rsid w:val="00381495"/>
    <w:rsid w:val="003854C2"/>
    <w:rsid w:val="00393317"/>
    <w:rsid w:val="003C0C7A"/>
    <w:rsid w:val="003D103F"/>
    <w:rsid w:val="00440250"/>
    <w:rsid w:val="004479D5"/>
    <w:rsid w:val="004A1F95"/>
    <w:rsid w:val="0050526B"/>
    <w:rsid w:val="0055193F"/>
    <w:rsid w:val="005808E5"/>
    <w:rsid w:val="005B36E9"/>
    <w:rsid w:val="006154BF"/>
    <w:rsid w:val="006B7B3D"/>
    <w:rsid w:val="006C050D"/>
    <w:rsid w:val="006C66B3"/>
    <w:rsid w:val="006F417A"/>
    <w:rsid w:val="008A21DF"/>
    <w:rsid w:val="008D5440"/>
    <w:rsid w:val="0097318F"/>
    <w:rsid w:val="009A1607"/>
    <w:rsid w:val="009F4F18"/>
    <w:rsid w:val="00A14537"/>
    <w:rsid w:val="00A7020B"/>
    <w:rsid w:val="00AC20F0"/>
    <w:rsid w:val="00BB6789"/>
    <w:rsid w:val="00BD5A48"/>
    <w:rsid w:val="00C562B1"/>
    <w:rsid w:val="00CC17A7"/>
    <w:rsid w:val="00D17AF4"/>
    <w:rsid w:val="00DB236C"/>
    <w:rsid w:val="00DC23ED"/>
    <w:rsid w:val="00DE67A1"/>
    <w:rsid w:val="00E0194C"/>
    <w:rsid w:val="00EB1085"/>
    <w:rsid w:val="00EB5A42"/>
    <w:rsid w:val="00ED2AD2"/>
    <w:rsid w:val="00ED7340"/>
    <w:rsid w:val="00F04046"/>
    <w:rsid w:val="00F965A6"/>
    <w:rsid w:val="00FD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DEF2"/>
  <w15:chartTrackingRefBased/>
  <w15:docId w15:val="{785AA3AB-05A5-4A60-98C0-981A1EB0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C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C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C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C7A"/>
    <w:rPr>
      <w:rFonts w:eastAsiaTheme="majorEastAsia" w:cstheme="majorBidi"/>
      <w:color w:val="272727" w:themeColor="text1" w:themeTint="D8"/>
    </w:rPr>
  </w:style>
  <w:style w:type="paragraph" w:styleId="Title">
    <w:name w:val="Title"/>
    <w:basedOn w:val="Normal"/>
    <w:next w:val="Normal"/>
    <w:link w:val="TitleChar"/>
    <w:uiPriority w:val="10"/>
    <w:qFormat/>
    <w:rsid w:val="003C0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C7A"/>
    <w:pPr>
      <w:spacing w:before="160"/>
      <w:jc w:val="center"/>
    </w:pPr>
    <w:rPr>
      <w:i/>
      <w:iCs/>
      <w:color w:val="404040" w:themeColor="text1" w:themeTint="BF"/>
    </w:rPr>
  </w:style>
  <w:style w:type="character" w:customStyle="1" w:styleId="QuoteChar">
    <w:name w:val="Quote Char"/>
    <w:basedOn w:val="DefaultParagraphFont"/>
    <w:link w:val="Quote"/>
    <w:uiPriority w:val="29"/>
    <w:rsid w:val="003C0C7A"/>
    <w:rPr>
      <w:i/>
      <w:iCs/>
      <w:color w:val="404040" w:themeColor="text1" w:themeTint="BF"/>
    </w:rPr>
  </w:style>
  <w:style w:type="paragraph" w:styleId="ListParagraph">
    <w:name w:val="List Paragraph"/>
    <w:basedOn w:val="Normal"/>
    <w:uiPriority w:val="34"/>
    <w:qFormat/>
    <w:rsid w:val="003C0C7A"/>
    <w:pPr>
      <w:ind w:left="720"/>
      <w:contextualSpacing/>
    </w:pPr>
  </w:style>
  <w:style w:type="character" w:styleId="IntenseEmphasis">
    <w:name w:val="Intense Emphasis"/>
    <w:basedOn w:val="DefaultParagraphFont"/>
    <w:uiPriority w:val="21"/>
    <w:qFormat/>
    <w:rsid w:val="003C0C7A"/>
    <w:rPr>
      <w:i/>
      <w:iCs/>
      <w:color w:val="0F4761" w:themeColor="accent1" w:themeShade="BF"/>
    </w:rPr>
  </w:style>
  <w:style w:type="paragraph" w:styleId="IntenseQuote">
    <w:name w:val="Intense Quote"/>
    <w:basedOn w:val="Normal"/>
    <w:next w:val="Normal"/>
    <w:link w:val="IntenseQuoteChar"/>
    <w:uiPriority w:val="30"/>
    <w:qFormat/>
    <w:rsid w:val="003C0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C7A"/>
    <w:rPr>
      <w:i/>
      <w:iCs/>
      <w:color w:val="0F4761" w:themeColor="accent1" w:themeShade="BF"/>
    </w:rPr>
  </w:style>
  <w:style w:type="character" w:styleId="IntenseReference">
    <w:name w:val="Intense Reference"/>
    <w:basedOn w:val="DefaultParagraphFont"/>
    <w:uiPriority w:val="32"/>
    <w:qFormat/>
    <w:rsid w:val="003C0C7A"/>
    <w:rPr>
      <w:b/>
      <w:bCs/>
      <w:smallCaps/>
      <w:color w:val="0F4761" w:themeColor="accent1" w:themeShade="BF"/>
      <w:spacing w:val="5"/>
    </w:rPr>
  </w:style>
  <w:style w:type="paragraph" w:styleId="Header">
    <w:name w:val="header"/>
    <w:basedOn w:val="Normal"/>
    <w:link w:val="HeaderChar"/>
    <w:uiPriority w:val="99"/>
    <w:unhideWhenUsed/>
    <w:rsid w:val="00FD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2CE"/>
  </w:style>
  <w:style w:type="paragraph" w:styleId="Footer">
    <w:name w:val="footer"/>
    <w:basedOn w:val="Normal"/>
    <w:link w:val="FooterChar"/>
    <w:uiPriority w:val="99"/>
    <w:unhideWhenUsed/>
    <w:rsid w:val="00FD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45329">
      <w:bodyDiv w:val="1"/>
      <w:marLeft w:val="0"/>
      <w:marRight w:val="0"/>
      <w:marTop w:val="0"/>
      <w:marBottom w:val="0"/>
      <w:divBdr>
        <w:top w:val="none" w:sz="0" w:space="0" w:color="auto"/>
        <w:left w:val="none" w:sz="0" w:space="0" w:color="auto"/>
        <w:bottom w:val="none" w:sz="0" w:space="0" w:color="auto"/>
        <w:right w:val="none" w:sz="0" w:space="0" w:color="auto"/>
      </w:divBdr>
    </w:div>
    <w:div w:id="15948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VanSusteren, Jane@CALFIRE</dc:creator>
  <cp:keywords/>
  <dc:description/>
  <cp:lastModifiedBy>Kemp, Mazonika@BOF</cp:lastModifiedBy>
  <cp:revision>3</cp:revision>
  <cp:lastPrinted>2024-06-18T19:19:00Z</cp:lastPrinted>
  <dcterms:created xsi:type="dcterms:W3CDTF">2024-06-18T20:14:00Z</dcterms:created>
  <dcterms:modified xsi:type="dcterms:W3CDTF">2024-06-18T22:34:00Z</dcterms:modified>
</cp:coreProperties>
</file>