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9DD1330" w:rsidR="00872693" w:rsidRPr="00872693" w:rsidRDefault="00872693" w:rsidP="00872693">
      <w:pPr>
        <w:widowControl w:val="0"/>
        <w:spacing w:before="240" w:after="120"/>
        <w:contextualSpacing/>
        <w:jc w:val="center"/>
        <w:rPr>
          <w:b/>
          <w:spacing w:val="-10"/>
          <w:kern w:val="28"/>
          <w:sz w:val="32"/>
          <w:szCs w:val="56"/>
          <w:u w:val="single"/>
        </w:rPr>
      </w:pPr>
      <w:bookmarkStart w:id="0" w:name="_GoBack"/>
      <w:bookmarkEnd w:id="0"/>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3F8D7E16"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D52475">
        <w:rPr>
          <w:b/>
          <w:spacing w:val="15"/>
          <w:szCs w:val="22"/>
        </w:rPr>
        <w:t xml:space="preserve">Date: </w:t>
      </w:r>
      <w:r w:rsidR="00887A51" w:rsidRPr="00D52475">
        <w:rPr>
          <w:b/>
          <w:spacing w:val="15"/>
          <w:szCs w:val="22"/>
        </w:rPr>
        <w:t>July 3</w:t>
      </w:r>
      <w:r w:rsidR="00CD3697" w:rsidRPr="00D52475">
        <w:rPr>
          <w:b/>
          <w:spacing w:val="15"/>
          <w:szCs w:val="22"/>
        </w:rPr>
        <w:t>, 2020</w:t>
      </w:r>
    </w:p>
    <w:p w14:paraId="7CFAE008" w14:textId="4F605FCF" w:rsidR="00872693" w:rsidRPr="00872693" w:rsidRDefault="00830C3D"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11"/>
          <w:footerReference w:type="default" r:id="rId12"/>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3"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07C0F77C"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Date: July 15</w:t>
      </w:r>
      <w:r w:rsidR="00CE726B" w:rsidRPr="00BA04EF">
        <w:rPr>
          <w:rFonts w:eastAsia="Arial"/>
          <w:spacing w:val="0"/>
          <w:szCs w:val="22"/>
        </w:rPr>
        <w:t>, 2020</w:t>
      </w:r>
      <w:r w:rsidR="00872693" w:rsidRPr="00BA04EF">
        <w:rPr>
          <w:rFonts w:eastAsia="Arial"/>
          <w:spacing w:val="0"/>
          <w:szCs w:val="22"/>
        </w:rPr>
        <w:t xml:space="preserve">, </w:t>
      </w:r>
      <w:r w:rsidR="00BA04EF" w:rsidRPr="00BA04EF">
        <w:rPr>
          <w:rFonts w:eastAsia="Arial"/>
          <w:spacing w:val="0"/>
          <w:szCs w:val="22"/>
        </w:rPr>
        <w:t>9:0</w:t>
      </w:r>
      <w:r w:rsidRPr="00BA04EF">
        <w:rPr>
          <w:rFonts w:eastAsia="Arial"/>
          <w:spacing w:val="0"/>
          <w:szCs w:val="22"/>
        </w:rPr>
        <w:t xml:space="preserve">0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58CDD473"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887A51" w:rsidRPr="00BA04EF">
        <w:rPr>
          <w:rFonts w:eastAsia="Arial"/>
          <w:spacing w:val="0"/>
          <w:szCs w:val="22"/>
        </w:rPr>
        <w:t>July 15</w:t>
      </w:r>
      <w:r w:rsidR="00CE726B" w:rsidRPr="00BA04EF">
        <w:rPr>
          <w:rFonts w:eastAsia="Arial"/>
          <w:spacing w:val="0"/>
          <w:szCs w:val="22"/>
        </w:rPr>
        <w:t>, 2020</w:t>
      </w:r>
      <w:r w:rsidRPr="00BA04EF">
        <w:rPr>
          <w:rFonts w:eastAsia="Arial"/>
          <w:spacing w:val="0"/>
          <w:szCs w:val="22"/>
        </w:rPr>
        <w:t>, 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74916F7C"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272BEF">
        <w:rPr>
          <w:rFonts w:eastAsia="Arial"/>
          <w:spacing w:val="0"/>
          <w:szCs w:val="22"/>
        </w:rPr>
        <w:t>July 14</w:t>
      </w:r>
      <w:r w:rsidR="00CC6E76" w:rsidRPr="00872693">
        <w:rPr>
          <w:rFonts w:eastAsia="Arial"/>
          <w:spacing w:val="0"/>
          <w:szCs w:val="22"/>
        </w:rPr>
        <w:t>, 20</w:t>
      </w:r>
      <w:r w:rsidR="00CC6E76" w:rsidRPr="00A66F15">
        <w:rPr>
          <w:rFonts w:eastAsia="Arial"/>
          <w:spacing w:val="0"/>
          <w:szCs w:val="22"/>
        </w:rPr>
        <w:t xml:space="preserve">20, </w:t>
      </w:r>
      <w:r w:rsidR="009E5C1A" w:rsidRPr="00A66F15">
        <w:rPr>
          <w:rFonts w:eastAsia="Arial"/>
          <w:spacing w:val="0"/>
          <w:szCs w:val="22"/>
        </w:rPr>
        <w:t>8:30am – 12:30</w:t>
      </w:r>
      <w:r w:rsidR="00CC6E76" w:rsidRPr="00A66F15">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465AFA42"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6AEFCE01"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653D9910"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72204B">
        <w:rPr>
          <w:rFonts w:eastAsia="Arial" w:cs="Arial"/>
          <w:spacing w:val="-1"/>
          <w:szCs w:val="24"/>
        </w:rPr>
        <w:t>the May</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328D9E0C" w14:textId="6B8C7690" w:rsidR="00357AAE" w:rsidRPr="00A66F15" w:rsidRDefault="00357AAE"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Board acceptance of RPF and CRM License </w:t>
      </w:r>
      <w:r w:rsidR="004B1667" w:rsidRPr="00A66F15">
        <w:rPr>
          <w:rFonts w:eastAsia="Arial" w:cs="Arial"/>
          <w:spacing w:val="-1"/>
          <w:szCs w:val="24"/>
        </w:rPr>
        <w:t>Withdrawals</w:t>
      </w:r>
    </w:p>
    <w:p w14:paraId="245CD018" w14:textId="77B20220" w:rsidR="00A66F15" w:rsidRPr="00BA4F67" w:rsidRDefault="00A66F15"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Appointment of </w:t>
      </w:r>
      <w:r w:rsidR="00887A51">
        <w:t>Sal Chinnici and Matt House to the Effectiveness Monitoring</w:t>
      </w:r>
      <w:r w:rsidR="004D7D00">
        <w:t xml:space="preserve"> Committee to</w:t>
      </w:r>
      <w:r w:rsidRPr="00A66F15">
        <w:t xml:space="preserve"> term</w:t>
      </w:r>
      <w:r w:rsidR="004D7D00">
        <w:t>s</w:t>
      </w:r>
      <w:r w:rsidRPr="00A66F15">
        <w:t xml:space="preserve"> of four years</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852EEB8" w14:textId="4E297827" w:rsidR="006E19FA" w:rsidRDefault="006E19FA" w:rsidP="00125927">
      <w:pPr>
        <w:widowControl w:val="0"/>
        <w:numPr>
          <w:ilvl w:val="0"/>
          <w:numId w:val="3"/>
        </w:numPr>
        <w:tabs>
          <w:tab w:val="left" w:pos="512"/>
        </w:tabs>
        <w:spacing w:before="120"/>
        <w:ind w:left="720"/>
        <w:rPr>
          <w:rFonts w:eastAsia="Arial" w:cs="Arial"/>
          <w:b/>
          <w:spacing w:val="0"/>
          <w:szCs w:val="24"/>
        </w:rPr>
      </w:pPr>
      <w:r>
        <w:rPr>
          <w:rFonts w:eastAsia="Arial" w:cs="Arial"/>
          <w:b/>
          <w:spacing w:val="0"/>
          <w:szCs w:val="24"/>
        </w:rPr>
        <w:lastRenderedPageBreak/>
        <w:t>Executive Officer Report</w:t>
      </w:r>
    </w:p>
    <w:p w14:paraId="27F36116" w14:textId="3D57227A" w:rsidR="006E19FA" w:rsidRDefault="001113F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Staffing Update</w:t>
      </w:r>
    </w:p>
    <w:p w14:paraId="5A9CB39D" w14:textId="2FDA276E" w:rsidR="004D7D00" w:rsidRPr="002F1CF7" w:rsidRDefault="004D7D00" w:rsidP="004D7D00">
      <w:pPr>
        <w:pStyle w:val="ListParagraph"/>
        <w:widowControl w:val="0"/>
        <w:numPr>
          <w:ilvl w:val="0"/>
          <w:numId w:val="24"/>
        </w:numPr>
        <w:tabs>
          <w:tab w:val="left" w:pos="512"/>
        </w:tabs>
        <w:spacing w:before="120"/>
        <w:rPr>
          <w:rFonts w:eastAsia="Arial"/>
          <w:spacing w:val="0"/>
          <w:szCs w:val="22"/>
        </w:rPr>
      </w:pPr>
      <w:r w:rsidRPr="004D7D00">
        <w:rPr>
          <w:rFonts w:eastAsia="Arial" w:cs="Arial"/>
          <w:spacing w:val="0"/>
          <w:szCs w:val="24"/>
        </w:rPr>
        <w:t>Review of the Legislative Report</w:t>
      </w:r>
    </w:p>
    <w:p w14:paraId="5F276620" w14:textId="77777777" w:rsidR="002F1CF7" w:rsidRPr="002F1CF7" w:rsidRDefault="002F1CF7" w:rsidP="002F1CF7">
      <w:pPr>
        <w:pStyle w:val="ListParagraph"/>
        <w:widowControl w:val="0"/>
        <w:tabs>
          <w:tab w:val="left" w:pos="512"/>
        </w:tabs>
        <w:spacing w:before="120"/>
        <w:ind w:left="1080"/>
        <w:rPr>
          <w:rFonts w:eastAsia="Arial"/>
          <w:spacing w:val="0"/>
          <w:szCs w:val="22"/>
        </w:rPr>
      </w:pPr>
    </w:p>
    <w:p w14:paraId="0284A7B9" w14:textId="4237DD84" w:rsidR="002F1CF7" w:rsidRPr="002F1CF7" w:rsidRDefault="002F1CF7" w:rsidP="002F1CF7">
      <w:pPr>
        <w:pStyle w:val="ListParagraph"/>
        <w:widowControl w:val="0"/>
        <w:numPr>
          <w:ilvl w:val="0"/>
          <w:numId w:val="3"/>
        </w:numPr>
        <w:tabs>
          <w:tab w:val="left" w:pos="512"/>
        </w:tabs>
        <w:spacing w:before="120"/>
        <w:rPr>
          <w:rFonts w:eastAsia="Arial"/>
          <w:spacing w:val="0"/>
          <w:szCs w:val="22"/>
        </w:rPr>
      </w:pPr>
      <w:r w:rsidRPr="002F1CF7">
        <w:rPr>
          <w:rFonts w:eastAsia="Arial" w:cs="Arial"/>
          <w:b/>
          <w:spacing w:val="-4"/>
          <w:szCs w:val="24"/>
        </w:rPr>
        <w:t>Repor</w:t>
      </w:r>
      <w:r w:rsidR="00A4038B">
        <w:rPr>
          <w:rFonts w:eastAsia="Arial" w:cs="Arial"/>
          <w:b/>
          <w:spacing w:val="-4"/>
          <w:szCs w:val="24"/>
        </w:rPr>
        <w:t>t of the Regulations Program Manager</w:t>
      </w:r>
      <w:r w:rsidRPr="002F1CF7">
        <w:rPr>
          <w:rFonts w:eastAsia="Arial" w:cs="Arial"/>
          <w:b/>
          <w:spacing w:val="-4"/>
          <w:szCs w:val="24"/>
        </w:rPr>
        <w:t xml:space="preserve">. </w:t>
      </w:r>
      <w:r w:rsidRPr="002F1CF7">
        <w:rPr>
          <w:rFonts w:eastAsia="Arial" w:cs="Arial"/>
          <w:spacing w:val="-4"/>
          <w:szCs w:val="24"/>
        </w:rPr>
        <w:t>The Board’s Regulations Program Manager and/or Land Use Planning Program Manager will report on ongoing regulatory matters.</w:t>
      </w:r>
      <w:r w:rsidRPr="002F1CF7">
        <w:rPr>
          <w:rFonts w:eastAsia="Arial" w:cs="Arial"/>
          <w:b/>
          <w:spacing w:val="-4"/>
          <w:szCs w:val="24"/>
        </w:rPr>
        <w:t xml:space="preserve"> Possible Action Items: </w:t>
      </w:r>
      <w:r w:rsidRPr="002F1CF7">
        <w:rPr>
          <w:rFonts w:eastAsia="Arial" w:cs="Arial"/>
          <w:spacing w:val="-4"/>
          <w:szCs w:val="24"/>
        </w:rPr>
        <w:t>The Board may act in response to requests of the Regulations Program Manager or Land Use Planning Program Manager on items presented in the report.</w:t>
      </w:r>
    </w:p>
    <w:p w14:paraId="5901371E" w14:textId="77777777" w:rsidR="002F1CF7" w:rsidRPr="002F1CF7" w:rsidRDefault="002F1CF7" w:rsidP="002F1CF7">
      <w:pPr>
        <w:pStyle w:val="ListParagraph"/>
        <w:widowControl w:val="0"/>
        <w:tabs>
          <w:tab w:val="left" w:pos="512"/>
        </w:tabs>
        <w:spacing w:before="120"/>
        <w:rPr>
          <w:rFonts w:eastAsia="Arial"/>
          <w:spacing w:val="0"/>
          <w:szCs w:val="22"/>
        </w:rPr>
      </w:pPr>
    </w:p>
    <w:p w14:paraId="53A6CF60" w14:textId="7D126F6B" w:rsidR="00A4038B" w:rsidRPr="00A4038B" w:rsidRDefault="002F1CF7" w:rsidP="00F00910">
      <w:pPr>
        <w:pStyle w:val="ListParagraph"/>
        <w:numPr>
          <w:ilvl w:val="0"/>
          <w:numId w:val="31"/>
        </w:numPr>
        <w:contextualSpacing w:val="0"/>
      </w:pPr>
      <w:r w:rsidRPr="00A4038B">
        <w:rPr>
          <w:rFonts w:eastAsia="Calibri" w:cs="Arial"/>
          <w:szCs w:val="24"/>
        </w:rPr>
        <w:t>Board consideration of the approval of the Final Statement of Reasons and adoption of the regulatory text for the rulemaking action entitled</w:t>
      </w:r>
      <w:r w:rsidRPr="00A4038B">
        <w:rPr>
          <w:rFonts w:eastAsia="Arial" w:cs="Arial"/>
          <w:b/>
          <w:spacing w:val="-4"/>
        </w:rPr>
        <w:t xml:space="preserve"> </w:t>
      </w:r>
      <w:r w:rsidR="00A4038B" w:rsidRPr="00A4038B">
        <w:rPr>
          <w:rFonts w:eastAsia="Arial"/>
          <w:bCs/>
          <w:spacing w:val="0"/>
          <w:szCs w:val="22"/>
        </w:rPr>
        <w:t>“Fuel Hazard Reduction Amendments, 2020” (14 CCR §§ 913, 933, 953, 1052, and 1052.4.)</w:t>
      </w:r>
      <w:r w:rsidRPr="00A4038B">
        <w:rPr>
          <w:rFonts w:cs="Arial"/>
          <w:szCs w:val="24"/>
        </w:rPr>
        <w:t xml:space="preserve">. </w:t>
      </w:r>
      <w:r w:rsidR="00A4038B" w:rsidRPr="008A2003">
        <w:rPr>
          <w:rFonts w:eastAsia="Arial"/>
          <w:bCs/>
          <w:spacing w:val="0"/>
          <w:szCs w:val="22"/>
        </w:rPr>
        <w:t xml:space="preserve">The purpose of the proposed action is to: 1) clarify the scope of lands which may be subject to timber operations pursuant to an Emergency Notice for Fuel Hazard Reduction; 2) to improve the efficacy and suitability of fuel treatments within the Emergency Notice for Fuel Hazard Reduction; 3) to improve immediate wildfire resiliency in post-harvest stands; and 4) to standardize and simplify, to some extent, the conditional requirements of the existing process in order to promote the use of </w:t>
      </w:r>
      <w:r w:rsidR="00A4038B">
        <w:rPr>
          <w:rFonts w:eastAsia="Arial"/>
          <w:bCs/>
          <w:spacing w:val="0"/>
          <w:szCs w:val="22"/>
        </w:rPr>
        <w:t>Emergency Notices.</w:t>
      </w:r>
    </w:p>
    <w:p w14:paraId="47496643" w14:textId="77777777" w:rsidR="00A4038B" w:rsidRPr="00A4038B" w:rsidRDefault="00A4038B" w:rsidP="00A4038B">
      <w:pPr>
        <w:pStyle w:val="ListParagraph"/>
        <w:ind w:left="1440"/>
        <w:contextualSpacing w:val="0"/>
      </w:pPr>
    </w:p>
    <w:p w14:paraId="08893634" w14:textId="563F9E35" w:rsidR="00A358F9" w:rsidRPr="006748C2" w:rsidRDefault="00A4038B" w:rsidP="00D90A13">
      <w:pPr>
        <w:pStyle w:val="ListParagraph"/>
        <w:widowControl w:val="0"/>
        <w:numPr>
          <w:ilvl w:val="0"/>
          <w:numId w:val="31"/>
        </w:numPr>
        <w:spacing w:line="239" w:lineRule="auto"/>
        <w:ind w:right="137"/>
        <w:contextualSpacing w:val="0"/>
        <w:rPr>
          <w:rFonts w:eastAsia="Arial" w:cs="Arial"/>
          <w:spacing w:val="0"/>
          <w:szCs w:val="24"/>
        </w:rPr>
      </w:pPr>
      <w:r w:rsidRPr="00A4038B">
        <w:rPr>
          <w:rFonts w:eastAsia="Calibri" w:cs="Arial"/>
          <w:szCs w:val="24"/>
        </w:rPr>
        <w:t>Board consideration of the approval of the Final Statement of Reasons and adoption of the regulatory text for the rulemaking action entitled</w:t>
      </w:r>
      <w:r w:rsidRPr="00A4038B">
        <w:rPr>
          <w:rFonts w:eastAsia="Arial" w:cs="Arial"/>
          <w:b/>
          <w:spacing w:val="-4"/>
        </w:rPr>
        <w:t xml:space="preserve"> </w:t>
      </w:r>
      <w:r w:rsidRPr="00A4038B">
        <w:rPr>
          <w:rFonts w:eastAsia="Arial"/>
          <w:bCs/>
          <w:spacing w:val="0"/>
          <w:szCs w:val="22"/>
        </w:rPr>
        <w:t>“</w:t>
      </w:r>
      <w:r w:rsidRPr="00A4038B">
        <w:t>Licensed Timber Operator (LTO) Education and Limited Licensed Timber Operator (LTO)”</w:t>
      </w:r>
      <w:r w:rsidRPr="00A4038B">
        <w:rPr>
          <w:rFonts w:cs="Arial"/>
          <w:szCs w:val="24"/>
        </w:rPr>
        <w:t xml:space="preserve">. </w:t>
      </w:r>
      <w:r w:rsidRPr="00355718">
        <w:t xml:space="preserve">The </w:t>
      </w:r>
      <w:r w:rsidRPr="00BD42F0">
        <w:t xml:space="preserve">purpose </w:t>
      </w:r>
      <w:r w:rsidRPr="00355718">
        <w:t xml:space="preserve">of the proposed action is to: 1) improve the clarity and consistency of the existing regulations surrounding timber operator licenses; 2) limit the activities permitted under a limited timber operator license to avoid excessive risk, given the lack of insurance obligations; </w:t>
      </w:r>
      <w:r>
        <w:t xml:space="preserve">3) more clearly implement those conditional requirements within PRC § 4572; </w:t>
      </w:r>
      <w:r w:rsidRPr="00355718">
        <w:t xml:space="preserve">and </w:t>
      </w:r>
      <w:r>
        <w:t>4</w:t>
      </w:r>
      <w:r w:rsidRPr="00355718">
        <w:t>) make the educational requirement of applicants consistent across all types of timber operator licenses.</w:t>
      </w:r>
    </w:p>
    <w:p w14:paraId="43842A29" w14:textId="07D76567" w:rsidR="00A4038B" w:rsidRPr="00A4038B" w:rsidRDefault="00A4038B" w:rsidP="00A4038B">
      <w:pPr>
        <w:widowControl w:val="0"/>
        <w:spacing w:line="239" w:lineRule="auto"/>
        <w:ind w:right="137"/>
        <w:rPr>
          <w:rFonts w:eastAsia="Arial" w:cs="Arial"/>
          <w:spacing w:val="0"/>
          <w:szCs w:val="24"/>
        </w:rPr>
      </w:pP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0D3234B3" w:rsidR="00A358F9" w:rsidRDefault="00095689" w:rsidP="003A2682">
      <w:pPr>
        <w:pStyle w:val="Default"/>
        <w:numPr>
          <w:ilvl w:val="0"/>
          <w:numId w:val="13"/>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p>
    <w:p w14:paraId="0BDB4B08" w14:textId="076A6DAB" w:rsidR="006748C2" w:rsidRPr="00A94812" w:rsidRDefault="006748C2" w:rsidP="006748C2">
      <w:pPr>
        <w:pStyle w:val="BodyText"/>
        <w:numPr>
          <w:ilvl w:val="0"/>
          <w:numId w:val="3"/>
        </w:numPr>
        <w:ind w:left="720"/>
        <w:rPr>
          <w:rFonts w:cs="Arial"/>
          <w:b/>
          <w:sz w:val="24"/>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94812">
        <w:rPr>
          <w:rFonts w:cs="Arial"/>
          <w:b/>
          <w:spacing w:val="-6"/>
          <w:sz w:val="24"/>
          <w:szCs w:val="24"/>
        </w:rPr>
        <w:t>o</w:t>
      </w:r>
      <w:r w:rsidRPr="00A94812">
        <w:rPr>
          <w:rFonts w:cs="Arial"/>
          <w:b/>
          <w:spacing w:val="-4"/>
          <w:sz w:val="24"/>
          <w:szCs w:val="24"/>
        </w:rPr>
        <w:t>r</w:t>
      </w:r>
      <w:r w:rsidRPr="00A94812">
        <w:rPr>
          <w:rFonts w:cs="Arial"/>
          <w:b/>
          <w:sz w:val="24"/>
          <w:szCs w:val="24"/>
        </w:rPr>
        <w:t>y</w:t>
      </w:r>
      <w:r w:rsidRPr="00A94812">
        <w:rPr>
          <w:rFonts w:cs="Arial"/>
          <w:b/>
          <w:spacing w:val="-6"/>
          <w:sz w:val="24"/>
          <w:szCs w:val="24"/>
        </w:rPr>
        <w:t xml:space="preserve"> </w:t>
      </w:r>
      <w:r w:rsidRPr="00A94812">
        <w:rPr>
          <w:rFonts w:cs="Arial"/>
          <w:b/>
          <w:spacing w:val="-4"/>
          <w:sz w:val="24"/>
          <w:szCs w:val="24"/>
        </w:rPr>
        <w:t>C</w:t>
      </w:r>
      <w:r w:rsidRPr="00A94812">
        <w:rPr>
          <w:rFonts w:cs="Arial"/>
          <w:b/>
          <w:spacing w:val="-3"/>
          <w:sz w:val="24"/>
          <w:szCs w:val="24"/>
        </w:rPr>
        <w:t>o</w:t>
      </w:r>
      <w:r w:rsidRPr="00A94812">
        <w:rPr>
          <w:rFonts w:cs="Arial"/>
          <w:b/>
          <w:spacing w:val="-4"/>
          <w:sz w:val="24"/>
          <w:szCs w:val="24"/>
        </w:rPr>
        <w:t>m</w:t>
      </w:r>
      <w:r w:rsidRPr="00A94812">
        <w:rPr>
          <w:rFonts w:cs="Arial"/>
          <w:b/>
          <w:spacing w:val="-2"/>
          <w:sz w:val="24"/>
          <w:szCs w:val="24"/>
        </w:rPr>
        <w:t>m</w:t>
      </w:r>
      <w:r w:rsidRPr="00A94812">
        <w:rPr>
          <w:rFonts w:cs="Arial"/>
          <w:b/>
          <w:spacing w:val="-6"/>
          <w:sz w:val="24"/>
          <w:szCs w:val="24"/>
        </w:rPr>
        <w:t>i</w:t>
      </w:r>
      <w:r w:rsidRPr="00A94812">
        <w:rPr>
          <w:rFonts w:cs="Arial"/>
          <w:b/>
          <w:spacing w:val="-4"/>
          <w:sz w:val="24"/>
          <w:szCs w:val="24"/>
        </w:rPr>
        <w:t>t</w:t>
      </w:r>
      <w:r w:rsidRPr="00A94812">
        <w:rPr>
          <w:rFonts w:cs="Arial"/>
          <w:b/>
          <w:spacing w:val="-2"/>
          <w:sz w:val="24"/>
          <w:szCs w:val="24"/>
        </w:rPr>
        <w:t>t</w:t>
      </w:r>
      <w:r w:rsidRPr="00A94812">
        <w:rPr>
          <w:rFonts w:cs="Arial"/>
          <w:b/>
          <w:spacing w:val="-3"/>
          <w:sz w:val="24"/>
          <w:szCs w:val="24"/>
        </w:rPr>
        <w:t>e</w:t>
      </w:r>
      <w:r w:rsidRPr="00A94812">
        <w:rPr>
          <w:rFonts w:cs="Arial"/>
          <w:b/>
          <w:spacing w:val="-6"/>
          <w:sz w:val="24"/>
          <w:szCs w:val="24"/>
        </w:rPr>
        <w:t>e</w:t>
      </w:r>
      <w:r w:rsidRPr="00A94812">
        <w:rPr>
          <w:rFonts w:cs="Arial"/>
          <w:b/>
          <w:sz w:val="24"/>
          <w:szCs w:val="24"/>
        </w:rPr>
        <w:t xml:space="preserve">s. </w:t>
      </w:r>
      <w:r w:rsidRPr="00A94812">
        <w:rPr>
          <w:rFonts w:cs="Arial"/>
          <w:b/>
          <w:bCs/>
          <w:spacing w:val="-5"/>
          <w:sz w:val="24"/>
          <w:szCs w:val="24"/>
        </w:rPr>
        <w:t>P</w:t>
      </w:r>
      <w:r w:rsidRPr="00A94812">
        <w:rPr>
          <w:rFonts w:cs="Arial"/>
          <w:b/>
          <w:bCs/>
          <w:spacing w:val="-2"/>
          <w:sz w:val="24"/>
          <w:szCs w:val="24"/>
        </w:rPr>
        <w:t>o</w:t>
      </w:r>
      <w:r w:rsidRPr="00A94812">
        <w:rPr>
          <w:rFonts w:cs="Arial"/>
          <w:b/>
          <w:bCs/>
          <w:sz w:val="24"/>
          <w:szCs w:val="24"/>
        </w:rPr>
        <w:t>ssi</w:t>
      </w:r>
      <w:r w:rsidRPr="00A94812">
        <w:rPr>
          <w:rFonts w:cs="Arial"/>
          <w:b/>
          <w:bCs/>
          <w:spacing w:val="-2"/>
          <w:sz w:val="24"/>
          <w:szCs w:val="24"/>
        </w:rPr>
        <w:t>b</w:t>
      </w:r>
      <w:r w:rsidRPr="00A94812">
        <w:rPr>
          <w:rFonts w:cs="Arial"/>
          <w:b/>
          <w:bCs/>
          <w:sz w:val="24"/>
          <w:szCs w:val="24"/>
        </w:rPr>
        <w:t>le</w:t>
      </w:r>
      <w:r w:rsidRPr="00A94812">
        <w:rPr>
          <w:rFonts w:cs="Arial"/>
          <w:b/>
          <w:bCs/>
          <w:spacing w:val="-9"/>
          <w:sz w:val="24"/>
          <w:szCs w:val="24"/>
        </w:rPr>
        <w:t xml:space="preserve"> </w:t>
      </w:r>
      <w:r w:rsidRPr="00A94812">
        <w:rPr>
          <w:rFonts w:cs="Arial"/>
          <w:b/>
          <w:bCs/>
          <w:spacing w:val="-11"/>
          <w:sz w:val="24"/>
          <w:szCs w:val="24"/>
        </w:rPr>
        <w:t>A</w:t>
      </w:r>
      <w:r w:rsidRPr="00A94812">
        <w:rPr>
          <w:rFonts w:cs="Arial"/>
          <w:b/>
          <w:bCs/>
          <w:sz w:val="24"/>
          <w:szCs w:val="24"/>
        </w:rPr>
        <w:t>c</w:t>
      </w:r>
      <w:r w:rsidRPr="00A94812">
        <w:rPr>
          <w:rFonts w:cs="Arial"/>
          <w:b/>
          <w:bCs/>
          <w:spacing w:val="-2"/>
          <w:sz w:val="24"/>
          <w:szCs w:val="24"/>
        </w:rPr>
        <w:t>t</w:t>
      </w:r>
      <w:r w:rsidRPr="00A94812">
        <w:rPr>
          <w:rFonts w:cs="Arial"/>
          <w:b/>
          <w:bCs/>
          <w:sz w:val="24"/>
          <w:szCs w:val="24"/>
        </w:rPr>
        <w:t>i</w:t>
      </w:r>
      <w:r w:rsidRPr="00A94812">
        <w:rPr>
          <w:rFonts w:cs="Arial"/>
          <w:b/>
          <w:bCs/>
          <w:spacing w:val="-2"/>
          <w:sz w:val="24"/>
          <w:szCs w:val="24"/>
        </w:rPr>
        <w:t>o</w:t>
      </w:r>
      <w:r w:rsidRPr="00A94812">
        <w:rPr>
          <w:rFonts w:cs="Arial"/>
          <w:b/>
          <w:bCs/>
          <w:sz w:val="24"/>
          <w:szCs w:val="24"/>
        </w:rPr>
        <w:t>n</w:t>
      </w:r>
      <w:r w:rsidRPr="00A94812">
        <w:rPr>
          <w:rFonts w:cs="Arial"/>
          <w:b/>
          <w:bCs/>
          <w:spacing w:val="-10"/>
          <w:sz w:val="24"/>
          <w:szCs w:val="24"/>
        </w:rPr>
        <w:t xml:space="preserve"> </w:t>
      </w:r>
      <w:r w:rsidRPr="00A94812">
        <w:rPr>
          <w:rFonts w:cs="Arial"/>
          <w:b/>
          <w:bCs/>
          <w:spacing w:val="-6"/>
          <w:sz w:val="24"/>
          <w:szCs w:val="24"/>
        </w:rPr>
        <w:t>I</w:t>
      </w:r>
      <w:r w:rsidRPr="00A94812">
        <w:rPr>
          <w:rFonts w:cs="Arial"/>
          <w:b/>
          <w:bCs/>
          <w:spacing w:val="-2"/>
          <w:sz w:val="24"/>
          <w:szCs w:val="24"/>
        </w:rPr>
        <w:t>t</w:t>
      </w:r>
      <w:r w:rsidRPr="00A94812">
        <w:rPr>
          <w:rFonts w:cs="Arial"/>
          <w:b/>
          <w:bCs/>
          <w:sz w:val="24"/>
          <w:szCs w:val="24"/>
        </w:rPr>
        <w:t>e</w:t>
      </w:r>
      <w:r w:rsidRPr="00A94812">
        <w:rPr>
          <w:rFonts w:cs="Arial"/>
          <w:b/>
          <w:bCs/>
          <w:spacing w:val="-2"/>
          <w:sz w:val="24"/>
          <w:szCs w:val="24"/>
        </w:rPr>
        <w:t>m</w:t>
      </w:r>
      <w:r w:rsidRPr="00A94812">
        <w:rPr>
          <w:rFonts w:cs="Arial"/>
          <w:b/>
          <w:bCs/>
          <w:sz w:val="24"/>
          <w:szCs w:val="24"/>
        </w:rPr>
        <w:t>s:</w:t>
      </w:r>
      <w:r w:rsidRPr="00A94812">
        <w:rPr>
          <w:rFonts w:cs="Arial"/>
          <w:b/>
          <w:bCs/>
          <w:spacing w:val="-12"/>
          <w:sz w:val="24"/>
          <w:szCs w:val="24"/>
        </w:rPr>
        <w:t xml:space="preserve"> </w:t>
      </w:r>
      <w:r w:rsidRPr="00A94812">
        <w:rPr>
          <w:rFonts w:cs="Arial"/>
          <w:sz w:val="24"/>
          <w:szCs w:val="24"/>
        </w:rPr>
        <w:t>The</w:t>
      </w:r>
      <w:r w:rsidRPr="00A94812">
        <w:rPr>
          <w:rFonts w:cs="Arial"/>
          <w:spacing w:val="-11"/>
          <w:sz w:val="24"/>
          <w:szCs w:val="24"/>
        </w:rPr>
        <w:t xml:space="preserve"> </w:t>
      </w:r>
      <w:r w:rsidRPr="00A94812">
        <w:rPr>
          <w:rFonts w:cs="Arial"/>
          <w:spacing w:val="-5"/>
          <w:sz w:val="24"/>
          <w:szCs w:val="24"/>
        </w:rPr>
        <w:t>B</w:t>
      </w:r>
      <w:r w:rsidRPr="00A94812">
        <w:rPr>
          <w:rFonts w:cs="Arial"/>
          <w:sz w:val="24"/>
          <w:szCs w:val="24"/>
        </w:rPr>
        <w:t>oa</w:t>
      </w:r>
      <w:r w:rsidRPr="00A94812">
        <w:rPr>
          <w:rFonts w:cs="Arial"/>
          <w:spacing w:val="-2"/>
          <w:sz w:val="24"/>
          <w:szCs w:val="24"/>
        </w:rPr>
        <w:t>r</w:t>
      </w:r>
      <w:r w:rsidRPr="00A94812">
        <w:rPr>
          <w:rFonts w:cs="Arial"/>
          <w:sz w:val="24"/>
          <w:szCs w:val="24"/>
        </w:rPr>
        <w:t>d</w:t>
      </w:r>
      <w:r w:rsidRPr="00A94812">
        <w:rPr>
          <w:rFonts w:cs="Arial"/>
          <w:spacing w:val="-14"/>
          <w:sz w:val="24"/>
          <w:szCs w:val="24"/>
        </w:rPr>
        <w:t xml:space="preserve"> </w:t>
      </w:r>
      <w:r w:rsidRPr="00A94812">
        <w:rPr>
          <w:rFonts w:cs="Arial"/>
          <w:sz w:val="24"/>
          <w:szCs w:val="24"/>
        </w:rPr>
        <w:t>m</w:t>
      </w:r>
      <w:r w:rsidRPr="00A94812">
        <w:rPr>
          <w:rFonts w:cs="Arial"/>
          <w:spacing w:val="-5"/>
          <w:sz w:val="24"/>
          <w:szCs w:val="24"/>
        </w:rPr>
        <w:t>a</w:t>
      </w:r>
      <w:r w:rsidRPr="00A94812">
        <w:rPr>
          <w:rFonts w:cs="Arial"/>
          <w:sz w:val="24"/>
          <w:szCs w:val="24"/>
        </w:rPr>
        <w:t>y</w:t>
      </w:r>
      <w:r w:rsidRPr="00A94812">
        <w:rPr>
          <w:rFonts w:cs="Arial"/>
          <w:spacing w:val="-17"/>
          <w:sz w:val="24"/>
          <w:szCs w:val="24"/>
        </w:rPr>
        <w:t xml:space="preserve"> </w:t>
      </w:r>
      <w:r w:rsidRPr="00A94812">
        <w:rPr>
          <w:rFonts w:cs="Arial"/>
          <w:sz w:val="24"/>
          <w:szCs w:val="24"/>
        </w:rPr>
        <w:t>a</w:t>
      </w:r>
      <w:r w:rsidRPr="00A94812">
        <w:rPr>
          <w:rFonts w:cs="Arial"/>
          <w:spacing w:val="-2"/>
          <w:sz w:val="24"/>
          <w:szCs w:val="24"/>
        </w:rPr>
        <w:t>c</w:t>
      </w:r>
      <w:r w:rsidRPr="00A94812">
        <w:rPr>
          <w:rFonts w:cs="Arial"/>
          <w:sz w:val="24"/>
          <w:szCs w:val="24"/>
        </w:rPr>
        <w:t>t</w:t>
      </w:r>
      <w:r w:rsidRPr="00A94812">
        <w:rPr>
          <w:rFonts w:cs="Arial"/>
          <w:spacing w:val="-11"/>
          <w:sz w:val="24"/>
          <w:szCs w:val="24"/>
        </w:rPr>
        <w:t xml:space="preserve"> </w:t>
      </w:r>
      <w:r w:rsidRPr="00A94812">
        <w:rPr>
          <w:rFonts w:cs="Arial"/>
          <w:spacing w:val="-5"/>
          <w:sz w:val="24"/>
          <w:szCs w:val="24"/>
        </w:rPr>
        <w:t>i</w:t>
      </w:r>
      <w:r w:rsidRPr="00A94812">
        <w:rPr>
          <w:rFonts w:cs="Arial"/>
          <w:sz w:val="24"/>
          <w:szCs w:val="24"/>
        </w:rPr>
        <w:t>n</w:t>
      </w:r>
      <w:r w:rsidRPr="00A94812">
        <w:rPr>
          <w:rFonts w:cs="Arial"/>
          <w:spacing w:val="-10"/>
          <w:sz w:val="24"/>
          <w:szCs w:val="24"/>
        </w:rPr>
        <w:t xml:space="preserve"> </w:t>
      </w:r>
      <w:r w:rsidRPr="00A94812">
        <w:rPr>
          <w:rFonts w:cs="Arial"/>
          <w:spacing w:val="-2"/>
          <w:sz w:val="24"/>
          <w:szCs w:val="24"/>
        </w:rPr>
        <w:t>r</w:t>
      </w:r>
      <w:r w:rsidRPr="00A94812">
        <w:rPr>
          <w:rFonts w:cs="Arial"/>
          <w:sz w:val="24"/>
          <w:szCs w:val="24"/>
        </w:rPr>
        <w:t>e</w:t>
      </w:r>
      <w:r w:rsidRPr="00A94812">
        <w:rPr>
          <w:rFonts w:cs="Arial"/>
          <w:spacing w:val="-2"/>
          <w:sz w:val="24"/>
          <w:szCs w:val="24"/>
        </w:rPr>
        <w:t>s</w:t>
      </w:r>
      <w:r w:rsidRPr="00A94812">
        <w:rPr>
          <w:rFonts w:cs="Arial"/>
          <w:sz w:val="24"/>
          <w:szCs w:val="24"/>
        </w:rPr>
        <w:t>pon</w:t>
      </w:r>
      <w:r w:rsidRPr="00A94812">
        <w:rPr>
          <w:rFonts w:cs="Arial"/>
          <w:spacing w:val="-2"/>
          <w:sz w:val="24"/>
          <w:szCs w:val="24"/>
        </w:rPr>
        <w:t>s</w:t>
      </w:r>
      <w:r w:rsidRPr="00A94812">
        <w:rPr>
          <w:rFonts w:cs="Arial"/>
          <w:sz w:val="24"/>
          <w:szCs w:val="24"/>
        </w:rPr>
        <w:t>e</w:t>
      </w:r>
      <w:r w:rsidRPr="00A94812">
        <w:rPr>
          <w:rFonts w:cs="Arial"/>
          <w:spacing w:val="-11"/>
          <w:sz w:val="24"/>
          <w:szCs w:val="24"/>
        </w:rPr>
        <w:t xml:space="preserve"> </w:t>
      </w:r>
      <w:r w:rsidRPr="00A94812">
        <w:rPr>
          <w:rFonts w:cs="Arial"/>
          <w:sz w:val="24"/>
          <w:szCs w:val="24"/>
        </w:rPr>
        <w:t>to</w:t>
      </w:r>
      <w:r w:rsidRPr="00A94812">
        <w:rPr>
          <w:rFonts w:cs="Arial"/>
          <w:spacing w:val="-12"/>
          <w:sz w:val="24"/>
          <w:szCs w:val="24"/>
        </w:rPr>
        <w:t xml:space="preserve"> </w:t>
      </w:r>
      <w:r w:rsidRPr="00A94812">
        <w:rPr>
          <w:rFonts w:cs="Arial"/>
          <w:sz w:val="24"/>
          <w:szCs w:val="24"/>
        </w:rPr>
        <w:t>C</w:t>
      </w:r>
      <w:r w:rsidRPr="00A94812">
        <w:rPr>
          <w:rFonts w:cs="Arial"/>
          <w:spacing w:val="-7"/>
          <w:sz w:val="24"/>
          <w:szCs w:val="24"/>
        </w:rPr>
        <w:t>o</w:t>
      </w:r>
      <w:r w:rsidRPr="00A94812">
        <w:rPr>
          <w:rFonts w:cs="Arial"/>
          <w:sz w:val="24"/>
          <w:szCs w:val="24"/>
        </w:rPr>
        <w:t>mm</w:t>
      </w:r>
      <w:r w:rsidRPr="00A94812">
        <w:rPr>
          <w:rFonts w:cs="Arial"/>
          <w:spacing w:val="-5"/>
          <w:sz w:val="24"/>
          <w:szCs w:val="24"/>
        </w:rPr>
        <w:t>i</w:t>
      </w:r>
      <w:r w:rsidRPr="00A94812">
        <w:rPr>
          <w:rFonts w:cs="Arial"/>
          <w:sz w:val="24"/>
          <w:szCs w:val="24"/>
        </w:rPr>
        <w:t>ttee</w:t>
      </w:r>
      <w:r w:rsidRPr="00A94812">
        <w:rPr>
          <w:rFonts w:cs="Arial"/>
          <w:spacing w:val="-11"/>
          <w:sz w:val="24"/>
          <w:szCs w:val="24"/>
        </w:rPr>
        <w:t xml:space="preserve"> </w:t>
      </w:r>
      <w:r w:rsidRPr="00A94812">
        <w:rPr>
          <w:rFonts w:cs="Arial"/>
          <w:spacing w:val="-2"/>
          <w:sz w:val="24"/>
          <w:szCs w:val="24"/>
        </w:rPr>
        <w:t>r</w:t>
      </w:r>
      <w:r w:rsidRPr="00A94812">
        <w:rPr>
          <w:rFonts w:cs="Arial"/>
          <w:spacing w:val="-7"/>
          <w:sz w:val="24"/>
          <w:szCs w:val="24"/>
        </w:rPr>
        <w:t>e</w:t>
      </w:r>
      <w:r w:rsidRPr="00A94812">
        <w:rPr>
          <w:rFonts w:cs="Arial"/>
          <w:spacing w:val="-5"/>
          <w:sz w:val="24"/>
          <w:szCs w:val="24"/>
        </w:rPr>
        <w:t>c</w:t>
      </w:r>
      <w:r w:rsidRPr="00A94812">
        <w:rPr>
          <w:rFonts w:cs="Arial"/>
          <w:spacing w:val="-7"/>
          <w:sz w:val="24"/>
          <w:szCs w:val="24"/>
        </w:rPr>
        <w:t>o</w:t>
      </w:r>
      <w:r w:rsidRPr="00A94812">
        <w:rPr>
          <w:rFonts w:cs="Arial"/>
          <w:sz w:val="24"/>
          <w:szCs w:val="24"/>
        </w:rPr>
        <w:t>m</w:t>
      </w:r>
      <w:r w:rsidRPr="00A94812">
        <w:rPr>
          <w:rFonts w:cs="Arial"/>
          <w:spacing w:val="1"/>
          <w:sz w:val="24"/>
          <w:szCs w:val="24"/>
        </w:rPr>
        <w:t>m</w:t>
      </w:r>
      <w:r w:rsidRPr="00A94812">
        <w:rPr>
          <w:rFonts w:cs="Arial"/>
          <w:sz w:val="24"/>
          <w:szCs w:val="24"/>
        </w:rPr>
        <w:t>endat</w:t>
      </w:r>
      <w:r w:rsidRPr="00A94812">
        <w:rPr>
          <w:rFonts w:cs="Arial"/>
          <w:spacing w:val="-5"/>
          <w:sz w:val="24"/>
          <w:szCs w:val="24"/>
        </w:rPr>
        <w:t>i</w:t>
      </w:r>
      <w:r w:rsidRPr="00A94812">
        <w:rPr>
          <w:rFonts w:cs="Arial"/>
          <w:sz w:val="24"/>
          <w:szCs w:val="24"/>
        </w:rPr>
        <w:t>on</w:t>
      </w:r>
      <w:r w:rsidRPr="00A94812">
        <w:rPr>
          <w:rFonts w:cs="Arial"/>
          <w:spacing w:val="-2"/>
          <w:sz w:val="24"/>
          <w:szCs w:val="24"/>
        </w:rPr>
        <w:t>s</w:t>
      </w:r>
      <w:r w:rsidRPr="00A94812">
        <w:rPr>
          <w:rFonts w:cs="Arial"/>
          <w:sz w:val="24"/>
          <w:szCs w:val="24"/>
        </w:rPr>
        <w:t>.</w:t>
      </w:r>
    </w:p>
    <w:p w14:paraId="76DA3963" w14:textId="77777777" w:rsidR="006748C2" w:rsidRDefault="006748C2" w:rsidP="006748C2">
      <w:pPr>
        <w:pStyle w:val="Default"/>
        <w:numPr>
          <w:ilvl w:val="0"/>
          <w:numId w:val="15"/>
        </w:numPr>
        <w:spacing w:before="120" w:after="120"/>
        <w:rPr>
          <w:rFonts w:eastAsia="Arial"/>
          <w:color w:val="auto"/>
          <w:spacing w:val="-1"/>
        </w:rPr>
      </w:pPr>
      <w:r w:rsidRPr="00A94812">
        <w:rPr>
          <w:rFonts w:eastAsia="Arial"/>
          <w:color w:val="auto"/>
          <w:spacing w:val="-1"/>
        </w:rPr>
        <w:t>Joint Institute for Wood Products Inno</w:t>
      </w:r>
      <w:r w:rsidRPr="00471154">
        <w:rPr>
          <w:rFonts w:eastAsia="Arial"/>
          <w:color w:val="auto"/>
          <w:spacing w:val="-1"/>
        </w:rPr>
        <w:t>vation – Katie Harrell, Joint Institute Program Analyst</w:t>
      </w:r>
    </w:p>
    <w:p w14:paraId="2CD86FBF" w14:textId="51DF00C3" w:rsidR="006748C2" w:rsidRDefault="006748C2" w:rsidP="006748C2">
      <w:pPr>
        <w:pStyle w:val="Default"/>
        <w:numPr>
          <w:ilvl w:val="1"/>
          <w:numId w:val="15"/>
        </w:numPr>
        <w:spacing w:before="120" w:after="120"/>
        <w:rPr>
          <w:rFonts w:eastAsia="Arial"/>
          <w:color w:val="auto"/>
          <w:spacing w:val="-1"/>
        </w:rPr>
      </w:pPr>
      <w:r>
        <w:rPr>
          <w:rFonts w:eastAsia="Arial"/>
          <w:color w:val="auto"/>
          <w:spacing w:val="-1"/>
        </w:rPr>
        <w:t>Update on Fiscal Year 19/20 contracts and agreements</w:t>
      </w:r>
      <w:r w:rsidR="00A94812">
        <w:rPr>
          <w:rFonts w:eastAsia="Arial"/>
          <w:color w:val="auto"/>
          <w:spacing w:val="-1"/>
        </w:rPr>
        <w:t>.</w:t>
      </w:r>
    </w:p>
    <w:p w14:paraId="5A1C6BC7" w14:textId="08CB9A1E" w:rsidR="006748C2" w:rsidRDefault="006748C2" w:rsidP="006748C2">
      <w:pPr>
        <w:pStyle w:val="Default"/>
        <w:numPr>
          <w:ilvl w:val="0"/>
          <w:numId w:val="15"/>
        </w:numPr>
        <w:spacing w:before="120" w:after="120"/>
        <w:rPr>
          <w:rFonts w:eastAsia="Arial"/>
          <w:color w:val="auto"/>
          <w:spacing w:val="-1"/>
        </w:rPr>
      </w:pPr>
      <w:r>
        <w:rPr>
          <w:rFonts w:eastAsia="Arial"/>
          <w:color w:val="auto"/>
          <w:spacing w:val="-1"/>
        </w:rPr>
        <w:t xml:space="preserve">Effectiveness Monitoring Committee (EMC) – </w:t>
      </w:r>
      <w:r w:rsidR="00DE5B8B">
        <w:rPr>
          <w:rFonts w:eastAsia="Arial"/>
          <w:color w:val="auto"/>
          <w:spacing w:val="-1"/>
        </w:rPr>
        <w:t>Brandi Goss, Environmental Scientist</w:t>
      </w:r>
    </w:p>
    <w:p w14:paraId="152A8769" w14:textId="016496FC" w:rsidR="006748C2" w:rsidRDefault="006748C2" w:rsidP="006748C2">
      <w:pPr>
        <w:pStyle w:val="Default"/>
        <w:numPr>
          <w:ilvl w:val="1"/>
          <w:numId w:val="15"/>
        </w:numPr>
        <w:spacing w:before="120" w:after="120"/>
        <w:rPr>
          <w:rFonts w:eastAsia="Arial"/>
          <w:color w:val="auto"/>
          <w:spacing w:val="-1"/>
        </w:rPr>
      </w:pPr>
      <w:r>
        <w:rPr>
          <w:rFonts w:eastAsia="Arial"/>
          <w:color w:val="auto"/>
          <w:spacing w:val="-1"/>
        </w:rPr>
        <w:t>Update on Fiscal Year 19/20 contracts and agreements</w:t>
      </w:r>
      <w:r w:rsidR="00A94812">
        <w:rPr>
          <w:rFonts w:eastAsia="Arial"/>
          <w:color w:val="auto"/>
          <w:spacing w:val="-1"/>
        </w:rPr>
        <w:t>.</w:t>
      </w:r>
    </w:p>
    <w:p w14:paraId="5FC8B1F0" w14:textId="6146F9BB" w:rsidR="006748C2" w:rsidRDefault="006748C2" w:rsidP="006748C2">
      <w:pPr>
        <w:pStyle w:val="Default"/>
        <w:numPr>
          <w:ilvl w:val="1"/>
          <w:numId w:val="15"/>
        </w:numPr>
        <w:spacing w:before="120" w:after="120"/>
        <w:rPr>
          <w:rFonts w:eastAsia="Arial"/>
          <w:color w:val="auto"/>
          <w:spacing w:val="-1"/>
        </w:rPr>
      </w:pPr>
      <w:r>
        <w:rPr>
          <w:rFonts w:eastAsia="Arial"/>
          <w:color w:val="auto"/>
          <w:spacing w:val="-1"/>
        </w:rPr>
        <w:t xml:space="preserve">Board consideration of DRAFT revised Charter of the EMC. </w:t>
      </w:r>
    </w:p>
    <w:p w14:paraId="514FECEE" w14:textId="77777777" w:rsidR="00E6790C" w:rsidRDefault="00E6790C" w:rsidP="00D54449">
      <w:pPr>
        <w:widowControl w:val="0"/>
        <w:spacing w:before="240" w:after="120"/>
        <w:outlineLvl w:val="1"/>
        <w:rPr>
          <w:rFonts w:eastAsia="Arial"/>
          <w:b/>
          <w:bCs/>
          <w:spacing w:val="0"/>
          <w:szCs w:val="22"/>
        </w:rPr>
      </w:pPr>
      <w:bookmarkStart w:id="1" w:name="_Hlk498610418"/>
      <w:bookmarkStart w:id="2" w:name="_Hlk503259769"/>
    </w:p>
    <w:p w14:paraId="5ACC1BC5" w14:textId="49D6D255" w:rsidR="00D54449" w:rsidRPr="00D54449" w:rsidRDefault="00872693" w:rsidP="00D54449">
      <w:pPr>
        <w:widowControl w:val="0"/>
        <w:spacing w:before="240" w:after="120"/>
        <w:outlineLvl w:val="1"/>
        <w:rPr>
          <w:rFonts w:eastAsia="Arial"/>
          <w:b/>
          <w:bCs/>
          <w:spacing w:val="0"/>
          <w:szCs w:val="22"/>
        </w:rPr>
      </w:pPr>
      <w:r w:rsidRPr="00872693">
        <w:rPr>
          <w:rFonts w:eastAsia="Arial"/>
          <w:b/>
          <w:bCs/>
          <w:spacing w:val="0"/>
          <w:szCs w:val="22"/>
        </w:rPr>
        <w:lastRenderedPageBreak/>
        <w:t>SPECIAL BOARD HEARING/REPORTS</w:t>
      </w:r>
    </w:p>
    <w:p w14:paraId="056C39DB" w14:textId="77777777" w:rsidR="00D0439A" w:rsidRPr="00D0439A" w:rsidRDefault="00D0439A" w:rsidP="00D0439A">
      <w:pPr>
        <w:pStyle w:val="ListParagraph"/>
        <w:spacing w:after="240"/>
      </w:pPr>
    </w:p>
    <w:p w14:paraId="2F8AD4B8" w14:textId="5DD137A0" w:rsidR="00D0439A" w:rsidRPr="009E4C88" w:rsidRDefault="00D0439A" w:rsidP="00A85004">
      <w:pPr>
        <w:pStyle w:val="ListParagraph"/>
        <w:widowControl w:val="0"/>
        <w:numPr>
          <w:ilvl w:val="0"/>
          <w:numId w:val="3"/>
        </w:numPr>
        <w:spacing w:before="240" w:after="120"/>
        <w:outlineLvl w:val="1"/>
        <w:rPr>
          <w:rFonts w:eastAsia="Arial"/>
          <w:bCs/>
          <w:spacing w:val="0"/>
          <w:szCs w:val="22"/>
        </w:rPr>
      </w:pPr>
      <w:r w:rsidRPr="00D0439A">
        <w:rPr>
          <w:b/>
        </w:rPr>
        <w:t>Presentation: Update on forthcoming 'Reforestation Practices for Conifers in California (2020) from</w:t>
      </w:r>
      <w:r w:rsidR="009E4C88">
        <w:rPr>
          <w:b/>
        </w:rPr>
        <w:t xml:space="preserve"> University of California Agricultural and Natural Resources</w:t>
      </w:r>
      <w:r w:rsidRPr="00D0439A">
        <w:rPr>
          <w:b/>
        </w:rPr>
        <w:t xml:space="preserve"> </w:t>
      </w:r>
      <w:r w:rsidR="009E4C88">
        <w:rPr>
          <w:b/>
        </w:rPr>
        <w:t>(</w:t>
      </w:r>
      <w:r w:rsidRPr="00D0439A">
        <w:rPr>
          <w:b/>
        </w:rPr>
        <w:t>UCANR</w:t>
      </w:r>
      <w:r w:rsidR="009E4C88">
        <w:rPr>
          <w:b/>
        </w:rPr>
        <w:t>)</w:t>
      </w:r>
      <w:r w:rsidRPr="00D0439A">
        <w:rPr>
          <w:b/>
        </w:rPr>
        <w:t xml:space="preserve"> and </w:t>
      </w:r>
      <w:r w:rsidR="009E4C88">
        <w:rPr>
          <w:b/>
        </w:rPr>
        <w:t>the Forest Vegetation Management Committee (</w:t>
      </w:r>
      <w:r w:rsidRPr="00D0439A">
        <w:rPr>
          <w:b/>
        </w:rPr>
        <w:t>FVMC</w:t>
      </w:r>
      <w:r w:rsidR="009E4C88">
        <w:rPr>
          <w:b/>
        </w:rPr>
        <w:t>)</w:t>
      </w:r>
      <w:r w:rsidRPr="00D0439A">
        <w:rPr>
          <w:b/>
        </w:rPr>
        <w:t xml:space="preserve"> -</w:t>
      </w:r>
      <w:r>
        <w:t xml:space="preserve"> William Stewart, UCANR Technical Editor and Tom Jopson, Co-author and FVMC Legacy Committee </w:t>
      </w:r>
    </w:p>
    <w:bookmarkEnd w:id="1"/>
    <w:bookmarkEnd w:id="2"/>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2110B4D0" w:rsidR="00872693" w:rsidRPr="00777A23" w:rsidRDefault="00872693" w:rsidP="004A293B">
      <w:pPr>
        <w:widowControl w:val="0"/>
        <w:numPr>
          <w:ilvl w:val="0"/>
          <w:numId w:val="3"/>
        </w:numPr>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5ADFAA2E" w:rsidR="004E1310" w:rsidRPr="00777A23"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697B42B3" w:rsidR="00872693" w:rsidRDefault="00095689" w:rsidP="00872693">
      <w:pPr>
        <w:widowControl w:val="0"/>
        <w:jc w:val="center"/>
        <w:outlineLvl w:val="0"/>
        <w:rPr>
          <w:rFonts w:eastAsia="Arial"/>
          <w:b/>
          <w:spacing w:val="0"/>
          <w:szCs w:val="24"/>
          <w:u w:val="single" w:color="000000"/>
        </w:rPr>
      </w:pPr>
      <w:bookmarkStart w:id="3" w:name="_Hlk496262192"/>
      <w:r>
        <w:rPr>
          <w:rFonts w:eastAsia="Arial"/>
          <w:b/>
          <w:spacing w:val="0"/>
          <w:szCs w:val="24"/>
          <w:u w:val="single" w:color="000000"/>
        </w:rPr>
        <w:lastRenderedPageBreak/>
        <w:t xml:space="preserve">JOINT </w:t>
      </w:r>
      <w:r w:rsidR="00D34F12">
        <w:rPr>
          <w:rFonts w:eastAsia="Arial"/>
          <w:b/>
          <w:spacing w:val="0"/>
          <w:szCs w:val="24"/>
          <w:u w:val="single" w:color="000000"/>
        </w:rPr>
        <w:t>COMMITTEE</w:t>
      </w:r>
      <w:r>
        <w:rPr>
          <w:rFonts w:eastAsia="Arial"/>
          <w:b/>
          <w:spacing w:val="0"/>
          <w:szCs w:val="24"/>
          <w:u w:val="single" w:color="000000"/>
        </w:rPr>
        <w:t xml:space="preserve"> </w:t>
      </w:r>
      <w:r w:rsidR="00872693"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25718D1D" w14:textId="752AB591" w:rsidR="00E46386" w:rsidRDefault="00E46386" w:rsidP="00E46386">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p>
    <w:p w14:paraId="02847C55" w14:textId="1F87F3D8" w:rsidR="006748C2" w:rsidRPr="000861DA" w:rsidRDefault="006748C2" w:rsidP="00E46386">
      <w:pPr>
        <w:pStyle w:val="BodyText"/>
        <w:numPr>
          <w:ilvl w:val="0"/>
          <w:numId w:val="28"/>
        </w:numPr>
        <w:tabs>
          <w:tab w:val="left" w:pos="872"/>
        </w:tabs>
        <w:spacing w:after="120"/>
        <w:rPr>
          <w:rFonts w:cs="Arial"/>
          <w:spacing w:val="-1"/>
          <w:sz w:val="24"/>
          <w:szCs w:val="24"/>
        </w:rPr>
      </w:pPr>
      <w:r>
        <w:rPr>
          <w:rFonts w:cs="Arial"/>
          <w:spacing w:val="-1"/>
          <w:sz w:val="24"/>
          <w:szCs w:val="24"/>
        </w:rPr>
        <w:t>Committee discussion on potential regulatory amendment to the Defensible Space Regulation</w:t>
      </w:r>
      <w:r w:rsidR="00DE5B8B">
        <w:rPr>
          <w:rFonts w:cs="Arial"/>
          <w:spacing w:val="-1"/>
          <w:sz w:val="24"/>
          <w:szCs w:val="24"/>
        </w:rPr>
        <w:t>s 14 CCR § 1299</w:t>
      </w:r>
      <w:r>
        <w:rPr>
          <w:rFonts w:cs="Arial"/>
          <w:spacing w:val="-1"/>
          <w:sz w:val="24"/>
          <w:szCs w:val="24"/>
        </w:rPr>
        <w:t xml:space="preserve"> and Defensible Space Guidelines </w:t>
      </w:r>
    </w:p>
    <w:p w14:paraId="49F00034" w14:textId="64FFEB4B" w:rsidR="005D3B3F" w:rsidRDefault="005D3B3F" w:rsidP="00E46386">
      <w:pPr>
        <w:pStyle w:val="BodyText"/>
        <w:numPr>
          <w:ilvl w:val="0"/>
          <w:numId w:val="28"/>
        </w:numPr>
        <w:tabs>
          <w:tab w:val="left" w:pos="872"/>
        </w:tabs>
        <w:spacing w:after="120"/>
        <w:rPr>
          <w:rFonts w:cs="Arial"/>
          <w:spacing w:val="-1"/>
          <w:sz w:val="24"/>
          <w:szCs w:val="24"/>
        </w:rPr>
      </w:pPr>
      <w:r>
        <w:rPr>
          <w:rFonts w:cs="Arial"/>
          <w:spacing w:val="-1"/>
          <w:sz w:val="24"/>
          <w:szCs w:val="24"/>
        </w:rPr>
        <w:t>Safety Element Reviews</w:t>
      </w:r>
    </w:p>
    <w:p w14:paraId="48F28F09" w14:textId="25BAE660" w:rsidR="005D3B3F" w:rsidRDefault="00342A51" w:rsidP="00B8307E">
      <w:pPr>
        <w:pStyle w:val="BodyText"/>
        <w:numPr>
          <w:ilvl w:val="1"/>
          <w:numId w:val="28"/>
        </w:numPr>
        <w:tabs>
          <w:tab w:val="left" w:pos="872"/>
        </w:tabs>
        <w:spacing w:after="120"/>
        <w:rPr>
          <w:rFonts w:cs="Arial"/>
          <w:spacing w:val="-1"/>
          <w:sz w:val="24"/>
          <w:szCs w:val="24"/>
        </w:rPr>
      </w:pPr>
      <w:r>
        <w:rPr>
          <w:rFonts w:cs="Arial"/>
          <w:spacing w:val="-1"/>
          <w:sz w:val="24"/>
          <w:szCs w:val="24"/>
        </w:rPr>
        <w:t xml:space="preserve">City of </w:t>
      </w:r>
      <w:r w:rsidR="006748C2">
        <w:rPr>
          <w:rFonts w:cs="Arial"/>
          <w:spacing w:val="-1"/>
          <w:sz w:val="24"/>
          <w:szCs w:val="24"/>
        </w:rPr>
        <w:t>Etna</w:t>
      </w:r>
    </w:p>
    <w:p w14:paraId="39B2238A" w14:textId="5E88BC57" w:rsidR="005D3B3F" w:rsidRDefault="00342A51" w:rsidP="00B8307E">
      <w:pPr>
        <w:pStyle w:val="BodyText"/>
        <w:numPr>
          <w:ilvl w:val="1"/>
          <w:numId w:val="28"/>
        </w:numPr>
        <w:tabs>
          <w:tab w:val="left" w:pos="872"/>
        </w:tabs>
        <w:spacing w:after="120"/>
        <w:rPr>
          <w:rFonts w:cs="Arial"/>
          <w:spacing w:val="-1"/>
          <w:sz w:val="24"/>
          <w:szCs w:val="24"/>
        </w:rPr>
      </w:pPr>
      <w:r>
        <w:rPr>
          <w:rFonts w:cs="Arial"/>
          <w:spacing w:val="-1"/>
          <w:sz w:val="24"/>
          <w:szCs w:val="24"/>
        </w:rPr>
        <w:t>C</w:t>
      </w:r>
      <w:r w:rsidR="00272BEF">
        <w:rPr>
          <w:rFonts w:cs="Arial"/>
          <w:spacing w:val="-1"/>
          <w:sz w:val="24"/>
          <w:szCs w:val="24"/>
        </w:rPr>
        <w:t xml:space="preserve">ounty </w:t>
      </w:r>
      <w:r>
        <w:rPr>
          <w:rFonts w:cs="Arial"/>
          <w:spacing w:val="-1"/>
          <w:sz w:val="24"/>
          <w:szCs w:val="24"/>
        </w:rPr>
        <w:t xml:space="preserve">of </w:t>
      </w:r>
      <w:r w:rsidR="006748C2">
        <w:rPr>
          <w:rFonts w:cs="Arial"/>
          <w:spacing w:val="-1"/>
          <w:sz w:val="24"/>
          <w:szCs w:val="24"/>
        </w:rPr>
        <w:t>Ventura</w:t>
      </w:r>
    </w:p>
    <w:p w14:paraId="3EAE4433" w14:textId="4F8B79FA" w:rsidR="00D52475" w:rsidRPr="00ED5842" w:rsidRDefault="00D52475" w:rsidP="00B8307E">
      <w:pPr>
        <w:pStyle w:val="BodyText"/>
        <w:numPr>
          <w:ilvl w:val="1"/>
          <w:numId w:val="28"/>
        </w:numPr>
        <w:tabs>
          <w:tab w:val="left" w:pos="872"/>
        </w:tabs>
        <w:spacing w:after="120"/>
        <w:rPr>
          <w:rFonts w:cs="Arial"/>
          <w:spacing w:val="-1"/>
          <w:sz w:val="24"/>
          <w:szCs w:val="24"/>
        </w:rPr>
      </w:pPr>
      <w:r>
        <w:rPr>
          <w:rFonts w:cs="Arial"/>
          <w:spacing w:val="-1"/>
          <w:sz w:val="24"/>
          <w:szCs w:val="24"/>
        </w:rPr>
        <w:t>City of Orange</w:t>
      </w:r>
    </w:p>
    <w:p w14:paraId="48825651" w14:textId="1C447362" w:rsidR="00CD3C8F" w:rsidRDefault="00151C88" w:rsidP="00A6418E">
      <w:pPr>
        <w:pStyle w:val="BodyText"/>
        <w:numPr>
          <w:ilvl w:val="0"/>
          <w:numId w:val="28"/>
        </w:numPr>
        <w:tabs>
          <w:tab w:val="left" w:pos="872"/>
        </w:tabs>
        <w:spacing w:after="120"/>
        <w:rPr>
          <w:rFonts w:cs="Arial"/>
          <w:spacing w:val="-1"/>
          <w:sz w:val="24"/>
          <w:szCs w:val="24"/>
        </w:rPr>
      </w:pPr>
      <w:r w:rsidRPr="00CD3C8F">
        <w:rPr>
          <w:rFonts w:cs="Arial"/>
          <w:spacing w:val="-1"/>
          <w:sz w:val="24"/>
          <w:szCs w:val="24"/>
        </w:rPr>
        <w:t xml:space="preserve">Staff Update on potential amendments to Conversion Exemptions within 14 CCR </w:t>
      </w:r>
      <w:r w:rsidR="00CD3C8F" w:rsidRPr="00E46386">
        <w:rPr>
          <w:rFonts w:cs="Arial"/>
          <w:spacing w:val="-1"/>
          <w:sz w:val="24"/>
          <w:szCs w:val="24"/>
        </w:rPr>
        <w:t>§</w:t>
      </w:r>
      <w:r w:rsidR="00CD3C8F">
        <w:rPr>
          <w:rFonts w:cs="Arial"/>
          <w:spacing w:val="-1"/>
          <w:sz w:val="24"/>
          <w:szCs w:val="24"/>
        </w:rPr>
        <w:t xml:space="preserve"> 1104.1</w:t>
      </w:r>
    </w:p>
    <w:p w14:paraId="5AAE6ED2" w14:textId="222A2849" w:rsidR="007772A6" w:rsidRDefault="006748C2" w:rsidP="00E46386">
      <w:pPr>
        <w:pStyle w:val="BodyText"/>
        <w:numPr>
          <w:ilvl w:val="0"/>
          <w:numId w:val="28"/>
        </w:numPr>
        <w:tabs>
          <w:tab w:val="left" w:pos="872"/>
        </w:tabs>
        <w:spacing w:after="120"/>
        <w:rPr>
          <w:rFonts w:cs="Arial"/>
          <w:spacing w:val="-1"/>
          <w:sz w:val="24"/>
          <w:szCs w:val="24"/>
        </w:rPr>
      </w:pPr>
      <w:r>
        <w:rPr>
          <w:rFonts w:cs="Arial"/>
          <w:spacing w:val="-1"/>
          <w:sz w:val="24"/>
          <w:szCs w:val="24"/>
        </w:rPr>
        <w:t>Review</w:t>
      </w:r>
      <w:r w:rsidR="00CD3C8F">
        <w:rPr>
          <w:rFonts w:cs="Arial"/>
          <w:spacing w:val="-1"/>
          <w:sz w:val="24"/>
          <w:szCs w:val="24"/>
        </w:rPr>
        <w:t xml:space="preserve"> of Staff Report on Botanical Resource and the Timber Harvest Process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18"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19"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0">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4FD912B6"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E454B3">
        <w:rPr>
          <w:rFonts w:cs="Arial"/>
          <w:bCs/>
          <w:spacing w:val="-1"/>
          <w:szCs w:val="24"/>
          <w:u w:color="000000"/>
        </w:rPr>
        <w:t>July</w:t>
      </w:r>
      <w:r>
        <w:rPr>
          <w:rFonts w:cs="Arial"/>
          <w:bCs/>
          <w:spacing w:val="-1"/>
          <w:szCs w:val="24"/>
          <w:u w:color="000000"/>
        </w:rPr>
        <w:t xml:space="preserve"> 2020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77777777" w:rsidR="005C1D5F" w:rsidRPr="00872693" w:rsidRDefault="005C1D5F"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lastRenderedPageBreak/>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1"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3E0E58">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2"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3E0E58">
          <w:type w:val="continuous"/>
          <w:pgSz w:w="12240" w:h="15840"/>
          <w:pgMar w:top="920" w:right="620" w:bottom="740" w:left="1040" w:header="0" w:footer="551" w:gutter="0"/>
          <w:cols w:num="2" w:space="720"/>
        </w:sectPr>
      </w:pPr>
    </w:p>
    <w:p w14:paraId="3A49E4B3" w14:textId="5380B9B6"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E454B3">
        <w:rPr>
          <w:rFonts w:cs="Arial"/>
          <w:b/>
          <w:spacing w:val="-4"/>
          <w:szCs w:val="24"/>
        </w:rPr>
        <w:t>July 9</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lastRenderedPageBreak/>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43E88A7"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3" w:history="1">
        <w:r w:rsidRPr="00F52933">
          <w:rPr>
            <w:rStyle w:val="Hyperlink"/>
            <w:rFonts w:cs="Arial"/>
            <w:spacing w:val="0"/>
            <w:szCs w:val="24"/>
          </w:rPr>
          <w:t>publiccomments@bof.ca.gov</w:t>
        </w:r>
      </w:hyperlink>
      <w:r w:rsidR="0077328A">
        <w:rPr>
          <w:rFonts w:cs="Arial"/>
          <w:spacing w:val="0"/>
          <w:szCs w:val="24"/>
        </w:rPr>
        <w:t xml:space="preserve"> no later than Thursday</w:t>
      </w:r>
      <w:r>
        <w:rPr>
          <w:rFonts w:cs="Arial"/>
          <w:spacing w:val="0"/>
          <w:szCs w:val="24"/>
        </w:rPr>
        <w:t xml:space="preserve"> </w:t>
      </w:r>
      <w:r w:rsidR="00CD3C8F">
        <w:rPr>
          <w:rFonts w:cs="Arial"/>
          <w:spacing w:val="0"/>
          <w:szCs w:val="24"/>
        </w:rPr>
        <w:t>June 4</w:t>
      </w:r>
      <w:r>
        <w:rPr>
          <w:rFonts w:cs="Arial"/>
          <w:spacing w:val="0"/>
          <w:szCs w:val="24"/>
        </w:rPr>
        <w:t>, 2020.</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D3483" w14:textId="77777777" w:rsidR="00970BEB" w:rsidRDefault="00970BEB" w:rsidP="005F6B90">
      <w:r>
        <w:separator/>
      </w:r>
    </w:p>
  </w:endnote>
  <w:endnote w:type="continuationSeparator" w:id="0">
    <w:p w14:paraId="4090CFC9" w14:textId="77777777" w:rsidR="00970BEB" w:rsidRDefault="00970BEB"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66B14482" w:rsidR="00872693" w:rsidRDefault="00872693">
        <w:pPr>
          <w:pStyle w:val="Footer"/>
          <w:jc w:val="center"/>
        </w:pPr>
        <w:r>
          <w:fldChar w:fldCharType="begin"/>
        </w:r>
        <w:r>
          <w:instrText xml:space="preserve"> PAGE   \* MERGEFORMAT </w:instrText>
        </w:r>
        <w:r>
          <w:fldChar w:fldCharType="separate"/>
        </w:r>
        <w:r w:rsidR="00830C3D">
          <w:rPr>
            <w:noProof/>
          </w:rPr>
          <w:t>2</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6C041" w14:textId="77777777" w:rsidR="00970BEB" w:rsidRDefault="00970BEB" w:rsidP="005F6B90">
      <w:r>
        <w:separator/>
      </w:r>
    </w:p>
  </w:footnote>
  <w:footnote w:type="continuationSeparator" w:id="0">
    <w:p w14:paraId="4F5D8C7C" w14:textId="77777777" w:rsidR="00970BEB" w:rsidRDefault="00970BEB"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830C3D"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830C3D"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77777777" w:rsidR="008E1416" w:rsidRDefault="00830C3D"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C3D">
      <w:rPr>
        <w:spacing w:val="-2"/>
        <w:sz w:val="12"/>
        <w:szCs w:val="12"/>
      </w:rPr>
      <w:pict w14:anchorId="7208F1CE">
        <v:rect id="_x0000_i1028"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A82469" w:rsidRDefault="00830C3D"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353FD477" w:rsidR="005C1D5F" w:rsidRDefault="005C1D5F">
    <w:pPr>
      <w:pStyle w:val="Header"/>
    </w:pPr>
    <w:r>
      <w:rPr>
        <w:noProof/>
      </w:rPr>
      <mc:AlternateContent>
        <mc:Choice Requires="wps">
          <w:drawing>
            <wp:anchor distT="0" distB="0" distL="114300" distR="114300" simplePos="0" relativeHeight="251661824"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6C34D17D" w:rsidR="005C1D5F" w:rsidRDefault="005C1D5F">
    <w:pPr>
      <w:pStyle w:val="Header"/>
    </w:pPr>
    <w:r>
      <w:rPr>
        <w:noProof/>
      </w:rPr>
      <mc:AlternateContent>
        <mc:Choice Requires="wps">
          <w:drawing>
            <wp:anchor distT="0" distB="0" distL="114300" distR="114300" simplePos="0" relativeHeight="251662848"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7777777" w:rsidR="005C1D5F" w:rsidRDefault="00830C3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158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C1D5F" w:rsidRPr="005F6B90">
      <w:rPr>
        <w:b/>
        <w:sz w:val="18"/>
        <w:szCs w:val="18"/>
      </w:rPr>
      <w:t>BOARD OF FORESTRY AND FIRE PROTECTION</w:t>
    </w:r>
    <w:r w:rsidR="005C1D5F">
      <w:rPr>
        <w:b/>
        <w:spacing w:val="2"/>
        <w:sz w:val="14"/>
        <w:szCs w:val="24"/>
      </w:rPr>
      <w:tab/>
      <w:t>KEITH GILLESS, CHAIR</w:t>
    </w:r>
  </w:p>
  <w:p w14:paraId="74937B0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C1D5F" w:rsidRDefault="005C1D5F"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3872"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C3D">
      <w:rPr>
        <w:spacing w:val="-2"/>
        <w:sz w:val="12"/>
        <w:szCs w:val="12"/>
      </w:rPr>
      <w:pict w14:anchorId="15D2C66A">
        <v:rect id="_x0000_i1027" style="width:0;height:1.5pt" o:hralign="center" o:hrstd="t" o:hr="t" fillcolor="#a0a0a0" stroked="f"/>
      </w:pict>
    </w:r>
  </w:p>
  <w:p w14:paraId="62E3C8AA" w14:textId="77777777" w:rsidR="005C1D5F" w:rsidRPr="005F6B90" w:rsidRDefault="005C1D5F"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C1D5F" w:rsidRPr="005F6B90" w:rsidRDefault="005C1D5F"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C1D5F" w:rsidRDefault="00830C3D" w:rsidP="008307F1">
    <w:pPr>
      <w:tabs>
        <w:tab w:val="left" w:pos="-720"/>
      </w:tabs>
      <w:suppressAutoHyphens/>
      <w:ind w:left="-720"/>
    </w:pPr>
    <w:hyperlink r:id="rId2" w:history="1">
      <w:r w:rsidR="005C1D5F"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5"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7"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8"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9"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26"/>
  </w:num>
  <w:num w:numId="3">
    <w:abstractNumId w:val="14"/>
  </w:num>
  <w:num w:numId="4">
    <w:abstractNumId w:val="2"/>
  </w:num>
  <w:num w:numId="5">
    <w:abstractNumId w:val="16"/>
  </w:num>
  <w:num w:numId="6">
    <w:abstractNumId w:val="18"/>
  </w:num>
  <w:num w:numId="7">
    <w:abstractNumId w:val="20"/>
  </w:num>
  <w:num w:numId="8">
    <w:abstractNumId w:val="21"/>
  </w:num>
  <w:num w:numId="9">
    <w:abstractNumId w:val="23"/>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7"/>
  </w:num>
  <w:num w:numId="13">
    <w:abstractNumId w:val="8"/>
  </w:num>
  <w:num w:numId="14">
    <w:abstractNumId w:val="0"/>
  </w:num>
  <w:num w:numId="15">
    <w:abstractNumId w:val="12"/>
  </w:num>
  <w:num w:numId="16">
    <w:abstractNumId w:val="5"/>
  </w:num>
  <w:num w:numId="17">
    <w:abstractNumId w:val="9"/>
  </w:num>
  <w:num w:numId="18">
    <w:abstractNumId w:val="3"/>
  </w:num>
  <w:num w:numId="19">
    <w:abstractNumId w:val="19"/>
  </w:num>
  <w:num w:numId="20">
    <w:abstractNumId w:val="29"/>
  </w:num>
  <w:num w:numId="21">
    <w:abstractNumId w:val="4"/>
  </w:num>
  <w:num w:numId="22">
    <w:abstractNumId w:val="11"/>
  </w:num>
  <w:num w:numId="23">
    <w:abstractNumId w:val="10"/>
  </w:num>
  <w:num w:numId="24">
    <w:abstractNumId w:val="13"/>
  </w:num>
  <w:num w:numId="25">
    <w:abstractNumId w:val="22"/>
  </w:num>
  <w:num w:numId="26">
    <w:abstractNumId w:val="1"/>
  </w:num>
  <w:num w:numId="27">
    <w:abstractNumId w:val="17"/>
  </w:num>
  <w:num w:numId="28">
    <w:abstractNumId w:val="28"/>
  </w:num>
  <w:num w:numId="29">
    <w:abstractNumId w:val="6"/>
  </w:num>
  <w:num w:numId="30">
    <w:abstractNumId w:val="24"/>
  </w:num>
  <w:num w:numId="31">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MUos12d+E+QvvzXSyOpNCeL9I3sdgLbk1qpXI7KEI4lJwym0awiI9NEMwGiits2uR/t69miBln2lAfWDi+i7Sg==" w:salt="pIZKeks7vCFti4ME2uKsNw=="/>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01CB"/>
    <w:rsid w:val="000B248A"/>
    <w:rsid w:val="000B2C00"/>
    <w:rsid w:val="000B4376"/>
    <w:rsid w:val="000B655B"/>
    <w:rsid w:val="000C28D4"/>
    <w:rsid w:val="000C2E24"/>
    <w:rsid w:val="000C3F53"/>
    <w:rsid w:val="000C4CF9"/>
    <w:rsid w:val="000D0526"/>
    <w:rsid w:val="000D0A79"/>
    <w:rsid w:val="000D3C4D"/>
    <w:rsid w:val="000D4BC5"/>
    <w:rsid w:val="000D76CE"/>
    <w:rsid w:val="000E3C4F"/>
    <w:rsid w:val="000F6CED"/>
    <w:rsid w:val="000F6EF9"/>
    <w:rsid w:val="00107812"/>
    <w:rsid w:val="001113F5"/>
    <w:rsid w:val="00116503"/>
    <w:rsid w:val="0012274B"/>
    <w:rsid w:val="00122CB4"/>
    <w:rsid w:val="00123A41"/>
    <w:rsid w:val="00125927"/>
    <w:rsid w:val="00132F5C"/>
    <w:rsid w:val="0013381F"/>
    <w:rsid w:val="00133F8F"/>
    <w:rsid w:val="001363F3"/>
    <w:rsid w:val="0013730F"/>
    <w:rsid w:val="001401DB"/>
    <w:rsid w:val="001419D4"/>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937D7"/>
    <w:rsid w:val="001946EF"/>
    <w:rsid w:val="001A25C7"/>
    <w:rsid w:val="001A2FC5"/>
    <w:rsid w:val="001A35BC"/>
    <w:rsid w:val="001A5DFD"/>
    <w:rsid w:val="001A64FC"/>
    <w:rsid w:val="001B13D9"/>
    <w:rsid w:val="001B69FE"/>
    <w:rsid w:val="001C2503"/>
    <w:rsid w:val="001C2782"/>
    <w:rsid w:val="001C35B4"/>
    <w:rsid w:val="001D1351"/>
    <w:rsid w:val="001D749F"/>
    <w:rsid w:val="001E7FC0"/>
    <w:rsid w:val="001F0A0C"/>
    <w:rsid w:val="001F59F6"/>
    <w:rsid w:val="001F5DDB"/>
    <w:rsid w:val="001F61C6"/>
    <w:rsid w:val="00205A9A"/>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6475C"/>
    <w:rsid w:val="002716C4"/>
    <w:rsid w:val="00272547"/>
    <w:rsid w:val="00272BEF"/>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5655"/>
    <w:rsid w:val="002F1CF7"/>
    <w:rsid w:val="002F67E7"/>
    <w:rsid w:val="003074B5"/>
    <w:rsid w:val="003105B2"/>
    <w:rsid w:val="00311969"/>
    <w:rsid w:val="003128D0"/>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4AE8"/>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43D3"/>
    <w:rsid w:val="00486861"/>
    <w:rsid w:val="00487010"/>
    <w:rsid w:val="00490127"/>
    <w:rsid w:val="0049227C"/>
    <w:rsid w:val="004A2257"/>
    <w:rsid w:val="004A293B"/>
    <w:rsid w:val="004B1667"/>
    <w:rsid w:val="004B2689"/>
    <w:rsid w:val="004B6867"/>
    <w:rsid w:val="004D25C3"/>
    <w:rsid w:val="004D67E0"/>
    <w:rsid w:val="004D7D0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48C2"/>
    <w:rsid w:val="00677C09"/>
    <w:rsid w:val="00681F1E"/>
    <w:rsid w:val="00690745"/>
    <w:rsid w:val="00691D61"/>
    <w:rsid w:val="006930CC"/>
    <w:rsid w:val="006943D0"/>
    <w:rsid w:val="006952FA"/>
    <w:rsid w:val="006954F6"/>
    <w:rsid w:val="006A54F5"/>
    <w:rsid w:val="006A57EE"/>
    <w:rsid w:val="006A62FF"/>
    <w:rsid w:val="006A642E"/>
    <w:rsid w:val="006A6CDE"/>
    <w:rsid w:val="006B3815"/>
    <w:rsid w:val="006B39A5"/>
    <w:rsid w:val="006B7B89"/>
    <w:rsid w:val="006B7FB7"/>
    <w:rsid w:val="006C24BB"/>
    <w:rsid w:val="006C26F6"/>
    <w:rsid w:val="006C3462"/>
    <w:rsid w:val="006D1BDB"/>
    <w:rsid w:val="006D2103"/>
    <w:rsid w:val="006D2FC8"/>
    <w:rsid w:val="006D3C82"/>
    <w:rsid w:val="006D53F2"/>
    <w:rsid w:val="006E19FA"/>
    <w:rsid w:val="006E3DDB"/>
    <w:rsid w:val="006E6E04"/>
    <w:rsid w:val="006F4A52"/>
    <w:rsid w:val="006F7CF8"/>
    <w:rsid w:val="00700DFB"/>
    <w:rsid w:val="00701D86"/>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768"/>
    <w:rsid w:val="00806B02"/>
    <w:rsid w:val="008140B5"/>
    <w:rsid w:val="00817148"/>
    <w:rsid w:val="0082191D"/>
    <w:rsid w:val="0082709C"/>
    <w:rsid w:val="00827C44"/>
    <w:rsid w:val="008307F1"/>
    <w:rsid w:val="00830B35"/>
    <w:rsid w:val="00830C3D"/>
    <w:rsid w:val="00832CC3"/>
    <w:rsid w:val="00834468"/>
    <w:rsid w:val="008375FF"/>
    <w:rsid w:val="00844619"/>
    <w:rsid w:val="0084522A"/>
    <w:rsid w:val="00850B3E"/>
    <w:rsid w:val="008510E8"/>
    <w:rsid w:val="008533D7"/>
    <w:rsid w:val="008538E6"/>
    <w:rsid w:val="00862DD7"/>
    <w:rsid w:val="00863482"/>
    <w:rsid w:val="00865BD6"/>
    <w:rsid w:val="008711A9"/>
    <w:rsid w:val="008725C4"/>
    <w:rsid w:val="00872693"/>
    <w:rsid w:val="008847B1"/>
    <w:rsid w:val="00886E21"/>
    <w:rsid w:val="008871D1"/>
    <w:rsid w:val="00887A51"/>
    <w:rsid w:val="008906B7"/>
    <w:rsid w:val="008A0C01"/>
    <w:rsid w:val="008A2003"/>
    <w:rsid w:val="008A2D44"/>
    <w:rsid w:val="008A3BCF"/>
    <w:rsid w:val="008A5480"/>
    <w:rsid w:val="008B4711"/>
    <w:rsid w:val="008B53F4"/>
    <w:rsid w:val="008B675B"/>
    <w:rsid w:val="008C2445"/>
    <w:rsid w:val="008C4E2A"/>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91814"/>
    <w:rsid w:val="00992665"/>
    <w:rsid w:val="00994371"/>
    <w:rsid w:val="00994569"/>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C88"/>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038B"/>
    <w:rsid w:val="00A4241F"/>
    <w:rsid w:val="00A43E81"/>
    <w:rsid w:val="00A4643F"/>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24A1"/>
    <w:rsid w:val="00B05D34"/>
    <w:rsid w:val="00B0712D"/>
    <w:rsid w:val="00B11634"/>
    <w:rsid w:val="00B11A18"/>
    <w:rsid w:val="00B255CC"/>
    <w:rsid w:val="00B32DED"/>
    <w:rsid w:val="00B348B1"/>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203B0"/>
    <w:rsid w:val="00C2137F"/>
    <w:rsid w:val="00C21B4A"/>
    <w:rsid w:val="00C25215"/>
    <w:rsid w:val="00C2634A"/>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3C8F"/>
    <w:rsid w:val="00CD4BD2"/>
    <w:rsid w:val="00CE10B8"/>
    <w:rsid w:val="00CE1E2E"/>
    <w:rsid w:val="00CE2D6A"/>
    <w:rsid w:val="00CE6005"/>
    <w:rsid w:val="00CE726B"/>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410B5"/>
    <w:rsid w:val="00D4719E"/>
    <w:rsid w:val="00D52475"/>
    <w:rsid w:val="00D54449"/>
    <w:rsid w:val="00D641EA"/>
    <w:rsid w:val="00D65F99"/>
    <w:rsid w:val="00D717FD"/>
    <w:rsid w:val="00D72050"/>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E5B8B"/>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16C04"/>
    <w:rsid w:val="00E21965"/>
    <w:rsid w:val="00E22B5C"/>
    <w:rsid w:val="00E22E7C"/>
    <w:rsid w:val="00E41DA3"/>
    <w:rsid w:val="00E42306"/>
    <w:rsid w:val="00E454B3"/>
    <w:rsid w:val="00E45CDE"/>
    <w:rsid w:val="00E46386"/>
    <w:rsid w:val="00E50CFF"/>
    <w:rsid w:val="00E60250"/>
    <w:rsid w:val="00E60556"/>
    <w:rsid w:val="00E67040"/>
    <w:rsid w:val="00E6790C"/>
    <w:rsid w:val="00E72D85"/>
    <w:rsid w:val="00E74619"/>
    <w:rsid w:val="00E80A67"/>
    <w:rsid w:val="00E8261E"/>
    <w:rsid w:val="00E84478"/>
    <w:rsid w:val="00E87CD4"/>
    <w:rsid w:val="00E9000D"/>
    <w:rsid w:val="00E911D9"/>
    <w:rsid w:val="00E917EF"/>
    <w:rsid w:val="00E92FAB"/>
    <w:rsid w:val="00E9589B"/>
    <w:rsid w:val="00E958E0"/>
    <w:rsid w:val="00E96C47"/>
    <w:rsid w:val="00E978E4"/>
    <w:rsid w:val="00EA05A6"/>
    <w:rsid w:val="00EA1A9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3EF1"/>
    <w:rsid w:val="00F57273"/>
    <w:rsid w:val="00F57769"/>
    <w:rsid w:val="00F5797E"/>
    <w:rsid w:val="00F661A4"/>
    <w:rsid w:val="00F761A1"/>
    <w:rsid w:val="00F76C9F"/>
    <w:rsid w:val="00F76EC1"/>
    <w:rsid w:val="00F84573"/>
    <w:rsid w:val="00F85804"/>
    <w:rsid w:val="00F92A30"/>
    <w:rsid w:val="00F92ECA"/>
    <w:rsid w:val="00F9408D"/>
    <w:rsid w:val="00F9732E"/>
    <w:rsid w:val="00FA3F52"/>
    <w:rsid w:val="00FB6057"/>
    <w:rsid w:val="00FB6634"/>
    <w:rsid w:val="00FC10B2"/>
    <w:rsid w:val="00FC5FD8"/>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matt.dia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375A-2D3F-44E9-B332-FCEB64295C3E}">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dcmitype/"/>
    <ds:schemaRef ds:uri="http://purl.org/dc/elements/1.1/"/>
    <ds:schemaRef ds:uri="5999079f-78a3-40c8-b0d3-b21f0a5f9de9"/>
    <ds:schemaRef ds:uri="50c285d6-090b-4878-9533-d90334e7ef5c"/>
    <ds:schemaRef ds:uri="http://www.w3.org/XML/1998/namespace"/>
  </ds:schemaRefs>
</ds:datastoreItem>
</file>

<file path=customXml/itemProps2.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9C0AA79D-5008-4C24-9F75-0C6E118B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2487</Words>
  <Characters>14182</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2020-07-02T20:01:00Z</dcterms:created>
  <dcterms:modified xsi:type="dcterms:W3CDTF">2020-07-02T23:06:00Z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