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6A2D" w14:textId="77777777" w:rsidR="0039476B" w:rsidRDefault="0039476B">
      <w:pPr>
        <w:pStyle w:val="Heading1"/>
        <w:kinsoku w:val="0"/>
        <w:overflowPunct w:val="0"/>
        <w:spacing w:before="80" w:line="480" w:lineRule="auto"/>
        <w:ind w:left="2786" w:right="2626" w:hanging="120"/>
      </w:pPr>
      <w:r>
        <w:t xml:space="preserve">Board of Forestry and Fire Protection </w:t>
      </w:r>
      <w:r>
        <w:rPr>
          <w:u w:val="thick"/>
        </w:rPr>
        <w:t>INITIAL STATEMENT OF REASONS</w:t>
      </w:r>
    </w:p>
    <w:p w14:paraId="0CF31924" w14:textId="55D28301" w:rsidR="0039476B" w:rsidRDefault="0039476B">
      <w:pPr>
        <w:pStyle w:val="BodyText"/>
        <w:kinsoku w:val="0"/>
        <w:overflowPunct w:val="0"/>
        <w:ind w:left="252" w:right="230"/>
        <w:jc w:val="center"/>
        <w:rPr>
          <w:b/>
          <w:bCs/>
        </w:rPr>
      </w:pPr>
      <w:r>
        <w:rPr>
          <w:b/>
          <w:bCs/>
        </w:rPr>
        <w:t>“</w:t>
      </w:r>
      <w:r w:rsidR="0061696B" w:rsidRPr="0061696B">
        <w:rPr>
          <w:b/>
          <w:bCs/>
        </w:rPr>
        <w:t>Work Completion Report in Emergency Notice Timber Operations</w:t>
      </w:r>
      <w:r>
        <w:rPr>
          <w:b/>
          <w:bCs/>
        </w:rPr>
        <w:t xml:space="preserve">, </w:t>
      </w:r>
      <w:r w:rsidR="00A97DA7">
        <w:rPr>
          <w:b/>
          <w:bCs/>
        </w:rPr>
        <w:t>202</w:t>
      </w:r>
      <w:r w:rsidR="00B32F2C">
        <w:rPr>
          <w:b/>
          <w:bCs/>
        </w:rPr>
        <w:t>6</w:t>
      </w:r>
      <w:r>
        <w:rPr>
          <w:b/>
          <w:bCs/>
        </w:rPr>
        <w:t>” Board of Forestry and Fire Protection</w:t>
      </w:r>
    </w:p>
    <w:p w14:paraId="651836EB" w14:textId="77777777" w:rsidR="0039476B" w:rsidRDefault="0039476B">
      <w:pPr>
        <w:pStyle w:val="BodyText"/>
        <w:kinsoku w:val="0"/>
        <w:overflowPunct w:val="0"/>
        <w:ind w:left="1659" w:right="1637"/>
        <w:jc w:val="center"/>
        <w:rPr>
          <w:b/>
          <w:bCs/>
        </w:rPr>
      </w:pPr>
      <w:r>
        <w:rPr>
          <w:b/>
          <w:bCs/>
        </w:rPr>
        <w:t xml:space="preserve">Title 14 of the California Code of Regulations (14 CCR): Division 1.5, Chapter 4, Subchapter </w:t>
      </w:r>
      <w:r w:rsidR="00A97DA7">
        <w:rPr>
          <w:b/>
          <w:bCs/>
        </w:rPr>
        <w:t>7</w:t>
      </w:r>
    </w:p>
    <w:p w14:paraId="6CFFC217" w14:textId="77777777" w:rsidR="0039476B" w:rsidRDefault="00A97DA7">
      <w:pPr>
        <w:pStyle w:val="BodyText"/>
        <w:kinsoku w:val="0"/>
        <w:overflowPunct w:val="0"/>
        <w:ind w:left="252" w:right="230"/>
        <w:jc w:val="center"/>
        <w:rPr>
          <w:b/>
          <w:bCs/>
        </w:rPr>
      </w:pPr>
      <w:r w:rsidRPr="00A97DA7">
        <w:rPr>
          <w:b/>
          <w:bCs/>
        </w:rPr>
        <w:t>Article 5 – Administration of Forest Practices</w:t>
      </w:r>
    </w:p>
    <w:p w14:paraId="2AC5DBB3" w14:textId="77777777" w:rsidR="0039476B" w:rsidRDefault="0039476B">
      <w:pPr>
        <w:pStyle w:val="BodyText"/>
        <w:kinsoku w:val="0"/>
        <w:overflowPunct w:val="0"/>
        <w:rPr>
          <w:b/>
          <w:bCs/>
        </w:rPr>
      </w:pPr>
    </w:p>
    <w:p w14:paraId="038A38E0" w14:textId="77777777" w:rsidR="0039476B" w:rsidRDefault="0039476B">
      <w:pPr>
        <w:pStyle w:val="BodyText"/>
        <w:kinsoku w:val="0"/>
        <w:overflowPunct w:val="0"/>
        <w:ind w:left="120" w:right="213"/>
        <w:rPr>
          <w:b/>
          <w:bCs/>
        </w:rPr>
      </w:pPr>
      <w:r>
        <w:rPr>
          <w:b/>
          <w:bCs/>
        </w:rPr>
        <w:t>INTRODUCTION INCLUDING PUBLIC PROBLEM, ADMINISTRATIVE REQUIREMENT, OR OTHER CONDITION OR CIRCUMSTANCE THE REGULATION IS INTENDED TO ADDRESS (pursuant to GC § 11346.2(b)(1)) …NECESSITY</w:t>
      </w:r>
    </w:p>
    <w:p w14:paraId="68B48A7E" w14:textId="77777777" w:rsidR="0039476B" w:rsidRDefault="0039476B">
      <w:pPr>
        <w:pStyle w:val="BodyText"/>
        <w:kinsoku w:val="0"/>
        <w:overflowPunct w:val="0"/>
        <w:spacing w:before="1"/>
        <w:ind w:left="120" w:right="691"/>
        <w:rPr>
          <w:b/>
          <w:bCs/>
        </w:rPr>
      </w:pPr>
      <w:r>
        <w:rPr>
          <w:b/>
          <w:bCs/>
        </w:rPr>
        <w:t>(pursuant to GC § 11346.2(b)(1) and 11349(a))….BENEFITS (pursuant to GC § 11346.2(b)(1))</w:t>
      </w:r>
    </w:p>
    <w:p w14:paraId="7131E88D" w14:textId="77777777" w:rsidR="0039476B" w:rsidRDefault="00A97DA7">
      <w:pPr>
        <w:pStyle w:val="BodyText"/>
        <w:kinsoku w:val="0"/>
        <w:overflowPunct w:val="0"/>
        <w:spacing w:before="11"/>
        <w:rPr>
          <w:sz w:val="23"/>
          <w:szCs w:val="23"/>
        </w:rPr>
      </w:pPr>
      <w:r w:rsidRPr="00A97DA7">
        <w:t>Pursuant to the Z’berg-Nejedly Forest Practice Act of 1973 (Public Resources Code § 4511 et seq.), the State Board of Forestry and Fire Protection (Board) is responsible for developing forest practice regulations that protect California’s forest resources and ensure sustainable timber harvesting. Under Public Resources Code (PRC) §§ 4551 and 4552, the Board must adopt, maintain, and periodically revise forest practice rules that safeguard soil, water, wildlife, and other public trust resources while supporting timber production.</w:t>
      </w:r>
      <w:r>
        <w:br w:type="textWrapping" w:clear="all"/>
      </w:r>
    </w:p>
    <w:p w14:paraId="22B34ED4" w14:textId="77777777" w:rsidR="00A97DA7" w:rsidRPr="00A97DA7" w:rsidRDefault="00A97DA7" w:rsidP="002629AC">
      <w:pPr>
        <w:pStyle w:val="BodyText"/>
        <w:kinsoku w:val="0"/>
        <w:overflowPunct w:val="0"/>
        <w:spacing w:before="1"/>
        <w:ind w:right="194"/>
      </w:pPr>
      <w:r w:rsidRPr="00A97DA7">
        <w:t>Emergency Notices, authorized</w:t>
      </w:r>
      <w:r w:rsidR="00CF7F0E">
        <w:t xml:space="preserve"> by PRC </w:t>
      </w:r>
      <w:r w:rsidR="00CF7F0E" w:rsidRPr="00A97DA7">
        <w:t>§</w:t>
      </w:r>
      <w:r w:rsidR="00CF7F0E">
        <w:t xml:space="preserve"> 4592 and covered </w:t>
      </w:r>
      <w:r w:rsidRPr="00A97DA7">
        <w:t xml:space="preserve">under 14 CCR § 1052, provide landowners and Licensed Timber Operators with a way to respond quickly to urgent forest conditions—such as wildfire damage, insect infestations, or hazardous fuel loads—without </w:t>
      </w:r>
      <w:r w:rsidR="00CF7F0E">
        <w:t>the delay inherent in filing a Timber Harvest Plan</w:t>
      </w:r>
      <w:r w:rsidRPr="00A97DA7">
        <w:t>. These notices allow needed work to begin promptly, supporting public safety and forest resilience</w:t>
      </w:r>
      <w:r w:rsidR="00CF7F0E">
        <w:t xml:space="preserve"> while minimizing environmental impacts. </w:t>
      </w:r>
      <w:r w:rsidR="00CF7F0E" w:rsidRPr="00CF7F0E">
        <w:t xml:space="preserve"> </w:t>
      </w:r>
      <w:r w:rsidR="00CF7F0E">
        <w:t xml:space="preserve"> </w:t>
      </w:r>
      <w:r w:rsidRPr="00A97DA7">
        <w:t xml:space="preserve">Although Emergency Notices streamline operations, they are still subject to </w:t>
      </w:r>
      <w:r w:rsidR="00947E1E">
        <w:t xml:space="preserve">all of the Forest Practice Rules: </w:t>
      </w:r>
      <w:r w:rsidR="00947E1E" w:rsidRPr="00A97DA7">
        <w:t>14 CCR § 1052</w:t>
      </w:r>
      <w:r w:rsidR="00947E1E">
        <w:t xml:space="preserve"> specifies that “</w:t>
      </w:r>
      <w:r w:rsidR="00947E1E" w:rsidRPr="00CF7F0E">
        <w:t>A person conducting Timber Operations under an Emergency Notice shall comply with all operational provisions of the Forest Practice Act and District Forest Practice Rules applicable to “Timber Harvest Plan”, “THP”, and “Plan”</w:t>
      </w:r>
      <w:r w:rsidR="00947E1E">
        <w:t>.”</w:t>
      </w:r>
      <w:r w:rsidRPr="00A97DA7">
        <w:t xml:space="preserve">. State law (PRC §§ 4585 and 4587) requires timberland owners to submit Completion and Stocking Reports </w:t>
      </w:r>
      <w:r w:rsidR="003F6190">
        <w:t>w</w:t>
      </w:r>
      <w:r w:rsidR="003F6190" w:rsidRPr="003F6190">
        <w:t xml:space="preserve">ithin one month after completion of the work described in the </w:t>
      </w:r>
      <w:r w:rsidR="003F6190">
        <w:t>T</w:t>
      </w:r>
      <w:r w:rsidR="003F6190" w:rsidRPr="003F6190">
        <w:t xml:space="preserve">imber </w:t>
      </w:r>
      <w:r w:rsidR="003F6190">
        <w:t>H</w:t>
      </w:r>
      <w:r w:rsidR="003F6190" w:rsidRPr="003F6190">
        <w:t xml:space="preserve">arvest </w:t>
      </w:r>
      <w:r w:rsidR="003F6190">
        <w:t>P</w:t>
      </w:r>
      <w:r w:rsidR="003F6190" w:rsidRPr="003F6190">
        <w:t>lan</w:t>
      </w:r>
      <w:r w:rsidRPr="00A97DA7">
        <w:t>. These reports ensure that operations conclude responsibly and that reforestation requirements are addressed.</w:t>
      </w:r>
      <w:r w:rsidR="00CF7F0E">
        <w:t xml:space="preserve"> </w:t>
      </w:r>
      <w:r>
        <w:br w:type="textWrapping" w:clear="all"/>
      </w:r>
    </w:p>
    <w:p w14:paraId="53E3DA2E" w14:textId="77777777" w:rsidR="00A97DA7" w:rsidRPr="00A97DA7" w:rsidRDefault="00A97DA7" w:rsidP="002629AC">
      <w:pPr>
        <w:pStyle w:val="BodyText"/>
        <w:kinsoku w:val="0"/>
        <w:overflowPunct w:val="0"/>
        <w:ind w:right="181"/>
      </w:pPr>
      <w:r w:rsidRPr="00A97DA7">
        <w:t xml:space="preserve">The current version of 14 CCR § 1052 does not clearly restate this obligation, and many operators—especially those working on smaller projects—are unaware of the follow-up requirement. As a result, CAL FIRE may not receive documentation confirming the end of operations or verifying </w:t>
      </w:r>
      <w:r w:rsidR="00CF7F0E">
        <w:t xml:space="preserve">site stocking conditions. </w:t>
      </w:r>
    </w:p>
    <w:p w14:paraId="6735F545" w14:textId="77777777" w:rsidR="00CF7F0E" w:rsidRDefault="00CF7F0E" w:rsidP="00CF7F0E">
      <w:pPr>
        <w:pStyle w:val="BodyText"/>
        <w:kinsoku w:val="0"/>
        <w:overflowPunct w:val="0"/>
        <w:ind w:right="181"/>
      </w:pPr>
    </w:p>
    <w:p w14:paraId="1C0F3AC0" w14:textId="77777777" w:rsidR="00A97DA7" w:rsidRPr="00A97DA7" w:rsidRDefault="00A97DA7" w:rsidP="002629AC">
      <w:pPr>
        <w:pStyle w:val="BodyText"/>
        <w:kinsoku w:val="0"/>
        <w:overflowPunct w:val="0"/>
        <w:ind w:right="181"/>
      </w:pPr>
      <w:r w:rsidRPr="00A97DA7">
        <w:t>This amendment is intended to close that gap. By including a direct reference to the Completion and Stocking Report requirements within § 1052, the Board aims to improve understanding, increase compliance, and ensure consistent oversight of Emergency Notice operations. The change is simple, but meaningful—it reinforces good forestry practices and supports long-term stewardship of California’s timberlands.</w:t>
      </w:r>
    </w:p>
    <w:p w14:paraId="0F4D93B2" w14:textId="77777777" w:rsidR="0039476B" w:rsidRDefault="0039476B" w:rsidP="00A97DA7">
      <w:pPr>
        <w:pStyle w:val="BodyText"/>
        <w:kinsoku w:val="0"/>
        <w:overflowPunct w:val="0"/>
        <w:ind w:right="181"/>
      </w:pPr>
    </w:p>
    <w:p w14:paraId="2E27D321" w14:textId="77777777" w:rsidR="003F6190" w:rsidRDefault="003F6190" w:rsidP="00A97DA7">
      <w:pPr>
        <w:pStyle w:val="BodyText"/>
        <w:kinsoku w:val="0"/>
        <w:overflowPunct w:val="0"/>
        <w:ind w:right="181"/>
      </w:pPr>
      <w:r>
        <w:t xml:space="preserve">The rule text also removes specific form names from </w:t>
      </w:r>
      <w:r w:rsidRPr="00A97DA7">
        <w:t>14 CCR § 1052</w:t>
      </w:r>
      <w:r>
        <w:t xml:space="preserve">(a) to address clarity issues that arise from the use of multiple form types. </w:t>
      </w:r>
    </w:p>
    <w:p w14:paraId="48DB6D0F" w14:textId="77777777" w:rsidR="0039476B" w:rsidRDefault="0039476B">
      <w:pPr>
        <w:pStyle w:val="BodyText"/>
        <w:kinsoku w:val="0"/>
        <w:overflowPunct w:val="0"/>
        <w:spacing w:before="7"/>
        <w:rPr>
          <w:sz w:val="21"/>
          <w:szCs w:val="21"/>
        </w:rPr>
      </w:pPr>
    </w:p>
    <w:p w14:paraId="24F3AAA6" w14:textId="77777777" w:rsidR="0039476B" w:rsidRDefault="0039476B" w:rsidP="00A97DA7">
      <w:pPr>
        <w:pStyle w:val="BodyText"/>
        <w:kinsoku w:val="0"/>
        <w:overflowPunct w:val="0"/>
        <w:ind w:left="120" w:right="128"/>
      </w:pPr>
      <w:r>
        <w:t xml:space="preserve">The </w:t>
      </w:r>
      <w:r>
        <w:rPr>
          <w:b/>
          <w:bCs/>
          <w:u w:val="thick"/>
        </w:rPr>
        <w:t>problem</w:t>
      </w:r>
      <w:r>
        <w:rPr>
          <w:b/>
          <w:bCs/>
        </w:rPr>
        <w:t xml:space="preserve"> </w:t>
      </w:r>
      <w:r>
        <w:t xml:space="preserve">is that </w:t>
      </w:r>
      <w:r w:rsidR="007018F7" w:rsidRPr="007018F7">
        <w:t>14 CCR § 1052 does not clearly state the requirement for submitting Completion Reports, leading to confusion among timber operators and inconsistent compliance with PRC § 4585.</w:t>
      </w:r>
    </w:p>
    <w:p w14:paraId="32E65FBF" w14:textId="77777777" w:rsidR="0039476B" w:rsidRDefault="0039476B">
      <w:pPr>
        <w:pStyle w:val="BodyText"/>
        <w:kinsoku w:val="0"/>
        <w:overflowPunct w:val="0"/>
      </w:pPr>
    </w:p>
    <w:p w14:paraId="4AF3FA21" w14:textId="77777777" w:rsidR="0039476B" w:rsidRDefault="0039476B">
      <w:pPr>
        <w:pStyle w:val="BodyText"/>
        <w:kinsoku w:val="0"/>
        <w:overflowPunct w:val="0"/>
        <w:ind w:left="120" w:right="154"/>
      </w:pPr>
      <w:r>
        <w:t xml:space="preserve">The </w:t>
      </w:r>
      <w:r>
        <w:rPr>
          <w:b/>
          <w:bCs/>
          <w:u w:val="thick"/>
        </w:rPr>
        <w:t xml:space="preserve">purpose </w:t>
      </w:r>
      <w:r>
        <w:t xml:space="preserve">of the proposed action is </w:t>
      </w:r>
      <w:r w:rsidR="007018F7" w:rsidRPr="007018F7">
        <w:t>to clarify and reinforce the statutory obligation to submit a Completion Report following Emergency Notice timber operations.</w:t>
      </w:r>
    </w:p>
    <w:p w14:paraId="0CCF925E" w14:textId="77777777" w:rsidR="0039476B" w:rsidRDefault="0039476B">
      <w:pPr>
        <w:pStyle w:val="BodyText"/>
        <w:kinsoku w:val="0"/>
        <w:overflowPunct w:val="0"/>
      </w:pPr>
    </w:p>
    <w:p w14:paraId="122ED37A" w14:textId="77777777" w:rsidR="0039476B" w:rsidRDefault="0039476B">
      <w:pPr>
        <w:pStyle w:val="BodyText"/>
        <w:kinsoku w:val="0"/>
        <w:overflowPunct w:val="0"/>
        <w:ind w:left="120" w:right="89"/>
      </w:pPr>
      <w:r>
        <w:t xml:space="preserve">The </w:t>
      </w:r>
      <w:r>
        <w:rPr>
          <w:b/>
          <w:bCs/>
          <w:u w:val="thick"/>
        </w:rPr>
        <w:t>effect</w:t>
      </w:r>
      <w:r>
        <w:rPr>
          <w:b/>
          <w:bCs/>
        </w:rPr>
        <w:t xml:space="preserve"> </w:t>
      </w:r>
      <w:r>
        <w:t xml:space="preserve">of the proposed action is </w:t>
      </w:r>
      <w:r w:rsidR="007018F7" w:rsidRPr="007018F7">
        <w:t>a more consistent understanding and enforcement of reporting requirements for Emergency Notices, resulting in improved documentation of timber operations.</w:t>
      </w:r>
    </w:p>
    <w:p w14:paraId="2973B30F" w14:textId="77777777" w:rsidR="0039476B" w:rsidRDefault="0039476B">
      <w:pPr>
        <w:pStyle w:val="BodyText"/>
        <w:kinsoku w:val="0"/>
        <w:overflowPunct w:val="0"/>
      </w:pPr>
    </w:p>
    <w:p w14:paraId="56A901B7" w14:textId="77777777" w:rsidR="0039476B" w:rsidRDefault="0039476B">
      <w:pPr>
        <w:pStyle w:val="BodyText"/>
        <w:kinsoku w:val="0"/>
        <w:overflowPunct w:val="0"/>
        <w:ind w:left="120" w:right="407"/>
      </w:pPr>
      <w:r>
        <w:t xml:space="preserve">The </w:t>
      </w:r>
      <w:r>
        <w:rPr>
          <w:b/>
          <w:bCs/>
          <w:u w:val="thick"/>
        </w:rPr>
        <w:t>benefit</w:t>
      </w:r>
      <w:r>
        <w:rPr>
          <w:b/>
          <w:bCs/>
        </w:rPr>
        <w:t xml:space="preserve"> </w:t>
      </w:r>
      <w:r>
        <w:t xml:space="preserve">of the proposed action is </w:t>
      </w:r>
      <w:r w:rsidR="007018F7" w:rsidRPr="007018F7">
        <w:t>enhanced compliance, accountability, and data collection to support post-operation review and forest resource protection.</w:t>
      </w:r>
    </w:p>
    <w:p w14:paraId="2CB3BD52" w14:textId="77777777" w:rsidR="0039476B" w:rsidRDefault="0039476B">
      <w:pPr>
        <w:pStyle w:val="BodyText"/>
        <w:kinsoku w:val="0"/>
        <w:overflowPunct w:val="0"/>
      </w:pPr>
    </w:p>
    <w:p w14:paraId="0672C597" w14:textId="77777777" w:rsidR="0039476B" w:rsidRDefault="0039476B">
      <w:pPr>
        <w:pStyle w:val="Heading1"/>
        <w:kinsoku w:val="0"/>
        <w:overflowPunct w:val="0"/>
        <w:spacing w:before="1"/>
        <w:ind w:left="119" w:right="267"/>
      </w:pPr>
      <w:r>
        <w:t xml:space="preserve">SPECIFIC </w:t>
      </w:r>
      <w:r>
        <w:rPr>
          <w:u w:val="thick"/>
        </w:rPr>
        <w:t>PURPOSE</w:t>
      </w:r>
      <w:r>
        <w:t xml:space="preserve"> OF EACH ADOPTION, AMENDMENT OR REPEAL (pursuant to GOV § 11346.2(b)(1)) AND THE RATIONALE FOR THE AGENCY’S DETERMINATION THAT EACH ADOPTION, AMENDMENT OR REPEAL IS REASONABLY </w:t>
      </w:r>
      <w:r>
        <w:rPr>
          <w:u w:val="thick"/>
        </w:rPr>
        <w:t>NECESSARY</w:t>
      </w:r>
      <w:r>
        <w:t xml:space="preserve"> TO CARRY OUT THE PURPOSE(S) OF THE STATUTE(S) OR OTHER PROVISIONS OF LAW THAT THE ACTION IS IMPLEMENTING, INTERPRETING OR MAKING SPECIFIC AND TO ADDRESS THE </w:t>
      </w:r>
      <w:r>
        <w:rPr>
          <w:u w:val="thick"/>
        </w:rPr>
        <w:t>PROBLEM</w:t>
      </w:r>
      <w:r>
        <w:t xml:space="preserve"> FOR WHICH IT IS PROPOSED (pursuant to GOV §§ 11346.2(b)(1) and</w:t>
      </w:r>
    </w:p>
    <w:p w14:paraId="7C12DA50" w14:textId="77777777" w:rsidR="0039476B" w:rsidRDefault="0039476B">
      <w:pPr>
        <w:pStyle w:val="BodyText"/>
        <w:kinsoku w:val="0"/>
        <w:overflowPunct w:val="0"/>
        <w:ind w:left="120" w:right="213"/>
        <w:rPr>
          <w:b/>
          <w:bCs/>
          <w:i/>
          <w:iCs/>
        </w:rPr>
      </w:pPr>
      <w:r>
        <w:rPr>
          <w:b/>
          <w:bCs/>
        </w:rPr>
        <w:t xml:space="preserve">11349(a) and 1 CCR § 10(b)). </w:t>
      </w:r>
      <w:r>
        <w:rPr>
          <w:b/>
          <w:bCs/>
          <w:i/>
          <w:iCs/>
        </w:rPr>
        <w:t>Note: For each adoption, amendment, or repeal provide the problem, purpose, and necessity.</w:t>
      </w:r>
    </w:p>
    <w:p w14:paraId="7A4E328F" w14:textId="77777777" w:rsidR="00CF7F0E" w:rsidRDefault="00CF7F0E" w:rsidP="00CF7F0E">
      <w:pPr>
        <w:pStyle w:val="BodyText"/>
        <w:kinsoku w:val="0"/>
        <w:overflowPunct w:val="0"/>
        <w:spacing w:before="10"/>
        <w:rPr>
          <w:b/>
          <w:bCs/>
          <w:i/>
          <w:iCs/>
          <w:sz w:val="23"/>
          <w:szCs w:val="23"/>
        </w:rPr>
      </w:pPr>
    </w:p>
    <w:p w14:paraId="24F68FC3" w14:textId="77777777" w:rsidR="007018F7" w:rsidRDefault="0039476B" w:rsidP="002629AC">
      <w:pPr>
        <w:pStyle w:val="BodyText"/>
        <w:kinsoku w:val="0"/>
        <w:overflowPunct w:val="0"/>
      </w:pPr>
      <w:r>
        <w:t>The Board is proposing action to ame</w:t>
      </w:r>
      <w:r w:rsidRPr="007018F7">
        <w:t xml:space="preserve">nd 14 CCR § </w:t>
      </w:r>
      <w:r w:rsidR="007018F7" w:rsidRPr="007018F7">
        <w:t>1052(a) and</w:t>
      </w:r>
      <w:r w:rsidRPr="007018F7">
        <w:t xml:space="preserve"> § </w:t>
      </w:r>
      <w:bookmarkStart w:id="0" w:name="_Hlk202964820"/>
      <w:r w:rsidR="007018F7" w:rsidRPr="007018F7">
        <w:t>1052</w:t>
      </w:r>
      <w:r w:rsidRPr="007018F7">
        <w:t>(</w:t>
      </w:r>
      <w:r w:rsidR="007018F7" w:rsidRPr="007018F7">
        <w:t>f</w:t>
      </w:r>
      <w:r w:rsidRPr="007018F7">
        <w:t>)</w:t>
      </w:r>
      <w:bookmarkEnd w:id="0"/>
    </w:p>
    <w:p w14:paraId="21F5F067" w14:textId="77777777" w:rsidR="0039476B" w:rsidRDefault="0039476B">
      <w:pPr>
        <w:pStyle w:val="BodyText"/>
        <w:kinsoku w:val="0"/>
        <w:overflowPunct w:val="0"/>
        <w:ind w:left="120" w:right="287"/>
      </w:pPr>
    </w:p>
    <w:p w14:paraId="73145A9C" w14:textId="77777777" w:rsidR="0039476B" w:rsidRDefault="0039476B">
      <w:pPr>
        <w:pStyle w:val="Heading1"/>
        <w:kinsoku w:val="0"/>
        <w:overflowPunct w:val="0"/>
        <w:spacing w:before="232"/>
      </w:pPr>
      <w:r>
        <w:t xml:space="preserve">Amend §§ </w:t>
      </w:r>
      <w:r w:rsidR="007018F7">
        <w:t>1052(a)</w:t>
      </w:r>
    </w:p>
    <w:p w14:paraId="6EE4FF8A" w14:textId="17F690DE" w:rsidR="00D67D85" w:rsidRPr="00D67D85" w:rsidRDefault="00D67D85" w:rsidP="00D67D85">
      <w:pPr>
        <w:pStyle w:val="BodyText"/>
        <w:kinsoku w:val="0"/>
        <w:overflowPunct w:val="0"/>
      </w:pPr>
      <w:r w:rsidRPr="00D67D85">
        <w:t xml:space="preserve">The </w:t>
      </w:r>
      <w:r w:rsidR="00947E1E">
        <w:t>rule text removes</w:t>
      </w:r>
      <w:r w:rsidRPr="00D67D85">
        <w:t xml:space="preserve"> references </w:t>
      </w:r>
      <w:r w:rsidR="002555E0">
        <w:t>using forms incorporated by reference in subsection (h), as prescribed by the Director, including but not limited to RM-67, RM-65, and RM-66.</w:t>
      </w:r>
    </w:p>
    <w:p w14:paraId="622C4E7C" w14:textId="77777777" w:rsidR="0039476B" w:rsidRDefault="0039476B">
      <w:pPr>
        <w:pStyle w:val="BodyText"/>
        <w:kinsoku w:val="0"/>
        <w:overflowPunct w:val="0"/>
      </w:pPr>
    </w:p>
    <w:p w14:paraId="58CBE6E7" w14:textId="5101F90E" w:rsidR="00D67D85" w:rsidRPr="00430FF4" w:rsidRDefault="00D67D85" w:rsidP="00D67D85">
      <w:pPr>
        <w:rPr>
          <w:sz w:val="24"/>
          <w:szCs w:val="24"/>
        </w:rPr>
      </w:pPr>
      <w:r w:rsidRPr="00430FF4">
        <w:rPr>
          <w:sz w:val="24"/>
          <w:szCs w:val="24"/>
        </w:rPr>
        <w:t xml:space="preserve">The problem is that 14 CCR § 1052 contains references to multiple specific Emergency Notice forms, which has led to confusion regarding which form should be used for a given type of emergency timber operation. As forms are updated or replaced over time, maintaining a fixed list in regulation increases the risk of outdated </w:t>
      </w:r>
      <w:r w:rsidR="00131C19">
        <w:rPr>
          <w:sz w:val="24"/>
          <w:szCs w:val="24"/>
        </w:rPr>
        <w:t>Department contact information</w:t>
      </w:r>
      <w:r w:rsidRPr="00430FF4">
        <w:rPr>
          <w:sz w:val="24"/>
          <w:szCs w:val="24"/>
        </w:rPr>
        <w:t xml:space="preserve"> </w:t>
      </w:r>
      <w:r w:rsidR="00131C19">
        <w:rPr>
          <w:sz w:val="24"/>
          <w:szCs w:val="24"/>
        </w:rPr>
        <w:t xml:space="preserve">and other data </w:t>
      </w:r>
      <w:r w:rsidRPr="00430FF4">
        <w:rPr>
          <w:sz w:val="24"/>
          <w:szCs w:val="24"/>
        </w:rPr>
        <w:t>and may hinder the use of the most current and appropriate documentation. The purpose of the proposed amendment is to remove references to specific form numbers in order to reduce confusion and promote the consistent use of the most current forms prescribed by the Director for Emergency Notice timber operations.</w:t>
      </w:r>
      <w:r w:rsidRPr="00430FF4">
        <w:rPr>
          <w:rFonts w:ascii="Times New Roman" w:hAnsi="Times New Roman" w:cs="Times New Roman"/>
          <w:sz w:val="24"/>
          <w:szCs w:val="24"/>
        </w:rPr>
        <w:t xml:space="preserve"> </w:t>
      </w:r>
      <w:r w:rsidRPr="00430FF4">
        <w:rPr>
          <w:sz w:val="24"/>
          <w:szCs w:val="24"/>
        </w:rPr>
        <w:t>This amendment is necessary to improve regulatory clarity and flexibility, allowing CAL FIRE to ensure that Registered Professional Foresters and timber operators are using the correct and most up-to-date forms without requiring future rulemaking actions each time a form is revised.</w:t>
      </w:r>
      <w:r w:rsidR="00DF0819">
        <w:rPr>
          <w:sz w:val="24"/>
          <w:szCs w:val="24"/>
        </w:rPr>
        <w:br w:type="textWrapping" w:clear="all"/>
      </w:r>
    </w:p>
    <w:p w14:paraId="21660F6D" w14:textId="77777777" w:rsidR="00D67D85" w:rsidRPr="00D67D85" w:rsidRDefault="00D67D85" w:rsidP="00D67D85">
      <w:pPr>
        <w:rPr>
          <w:sz w:val="24"/>
          <w:szCs w:val="24"/>
        </w:rPr>
      </w:pPr>
    </w:p>
    <w:p w14:paraId="636A8477" w14:textId="77777777" w:rsidR="0039476B" w:rsidRDefault="0039476B">
      <w:pPr>
        <w:pStyle w:val="Heading1"/>
        <w:kinsoku w:val="0"/>
        <w:overflowPunct w:val="0"/>
        <w:spacing w:before="232"/>
      </w:pPr>
      <w:r>
        <w:t xml:space="preserve">Amend §§ </w:t>
      </w:r>
      <w:r w:rsidR="00D67D85" w:rsidRPr="00D67D85">
        <w:t>1052(f)</w:t>
      </w:r>
    </w:p>
    <w:p w14:paraId="0868A818" w14:textId="77777777" w:rsidR="00D67D85" w:rsidRPr="00D67D85" w:rsidRDefault="00D67D85" w:rsidP="00D67D85">
      <w:pPr>
        <w:pStyle w:val="BodyText"/>
        <w:kinsoku w:val="0"/>
        <w:overflowPunct w:val="0"/>
      </w:pPr>
      <w:r w:rsidRPr="00D67D85">
        <w:t>The proposed action amends 14 CCR § 1052 to explicitly state that within one month after the completion of timber operations or the expiration of the Emergency Notice, the timber owner or their agent shall meet the requirements of PRC § 4585 by submitting a Completion Report and PRC § 4587 by submitting a Stocking Report.</w:t>
      </w:r>
    </w:p>
    <w:p w14:paraId="3205528C" w14:textId="77777777" w:rsidR="0039476B" w:rsidRPr="00D67D85" w:rsidRDefault="0039476B">
      <w:pPr>
        <w:pStyle w:val="BodyText"/>
        <w:kinsoku w:val="0"/>
        <w:overflowPunct w:val="0"/>
      </w:pPr>
    </w:p>
    <w:p w14:paraId="113C96AF" w14:textId="77777777" w:rsidR="00D67D85" w:rsidRPr="00D67D85" w:rsidRDefault="00D67D85" w:rsidP="00D67D85">
      <w:pPr>
        <w:pStyle w:val="BodyText"/>
        <w:kinsoku w:val="0"/>
        <w:overflowPunct w:val="0"/>
        <w:ind w:right="222"/>
      </w:pPr>
      <w:r w:rsidRPr="00D67D85">
        <w:t>The problem is that while the statutory requirements for Completion and Stocking Reports exist under PRC §§ 4585 and 4587, 14 CCR § 1052 does not clearly restate these obligations within the Emergency Notice provisions. This has resulted in inconsistent understanding and compliance by timberland owners and operators, particularly those conducting small-scale operations under Emergency Notices.</w:t>
      </w:r>
    </w:p>
    <w:p w14:paraId="5C6D7889" w14:textId="77777777" w:rsidR="00D67D85" w:rsidRDefault="00D67D85" w:rsidP="00D67D85">
      <w:pPr>
        <w:rPr>
          <w:sz w:val="24"/>
          <w:szCs w:val="24"/>
        </w:rPr>
      </w:pPr>
      <w:r w:rsidRPr="00D67D85">
        <w:rPr>
          <w:sz w:val="24"/>
          <w:szCs w:val="24"/>
        </w:rPr>
        <w:t>The purpose of this amendment is to clarify the regulatory text by directly referencing the statutory requirement to submit Completion and Stocking Reports, thereby improving operator awareness and reinforcing accountability at the conclusion of Emergency Notice operations. This amendment is necessary to close a compliance gap by aligning regulatory language with existing statutory requirements, supporting CAL FIRE’s ability to evaluate completed operations, verify stocking, and ensure that post-harvest obligations are fulfilled consistently across all types of timber operations.</w:t>
      </w:r>
    </w:p>
    <w:p w14:paraId="58FBA766" w14:textId="70EFE8D6" w:rsidR="0039476B" w:rsidRDefault="0039476B" w:rsidP="00CF4F28">
      <w:pPr>
        <w:pStyle w:val="Heading1"/>
        <w:kinsoku w:val="0"/>
        <w:overflowPunct w:val="0"/>
        <w:spacing w:before="232"/>
      </w:pPr>
      <w:r>
        <w:t>Non substantiative amendments</w:t>
      </w:r>
    </w:p>
    <w:p w14:paraId="4951DF6D" w14:textId="77777777" w:rsidR="0039476B" w:rsidRDefault="0039476B">
      <w:pPr>
        <w:pStyle w:val="BodyText"/>
        <w:kinsoku w:val="0"/>
        <w:overflowPunct w:val="0"/>
        <w:ind w:left="120" w:right="487"/>
      </w:pPr>
      <w:r>
        <w:t>Capitalized and utilized terms defined pursuant to 14 CCR § 895.1 and standardized numbering systems and units of measurement throughout the amendments where appropriate.</w:t>
      </w:r>
    </w:p>
    <w:p w14:paraId="64F53D99" w14:textId="77777777" w:rsidR="0039476B" w:rsidRDefault="0039476B">
      <w:pPr>
        <w:pStyle w:val="BodyText"/>
        <w:kinsoku w:val="0"/>
        <w:overflowPunct w:val="0"/>
      </w:pPr>
    </w:p>
    <w:p w14:paraId="2F491117" w14:textId="77777777" w:rsidR="0039476B" w:rsidRDefault="0039476B">
      <w:pPr>
        <w:pStyle w:val="Heading1"/>
        <w:kinsoku w:val="0"/>
        <w:overflowPunct w:val="0"/>
      </w:pPr>
      <w:r>
        <w:t>ECONOMIC IMPACT ANALYSIS (pursuant to GOV § 11346.3(b)(1)(A) -(D) and</w:t>
      </w:r>
    </w:p>
    <w:p w14:paraId="21217886" w14:textId="77777777" w:rsidR="0039476B" w:rsidRDefault="0039476B">
      <w:pPr>
        <w:pStyle w:val="BodyText"/>
        <w:kinsoku w:val="0"/>
        <w:overflowPunct w:val="0"/>
        <w:ind w:left="120"/>
        <w:rPr>
          <w:b/>
          <w:bCs/>
        </w:rPr>
      </w:pPr>
      <w:r>
        <w:rPr>
          <w:b/>
          <w:bCs/>
        </w:rPr>
        <w:t>provided pursuant to 11346.3(a)(3)</w:t>
      </w:r>
    </w:p>
    <w:p w14:paraId="1C196601" w14:textId="77777777" w:rsidR="0039476B" w:rsidRDefault="0039476B">
      <w:pPr>
        <w:pStyle w:val="BodyText"/>
        <w:kinsoku w:val="0"/>
        <w:overflowPunct w:val="0"/>
        <w:ind w:left="120" w:right="222"/>
      </w:pPr>
      <w:r>
        <w:t xml:space="preserve">The </w:t>
      </w:r>
      <w:r>
        <w:rPr>
          <w:b/>
          <w:bCs/>
          <w:u w:val="thick"/>
        </w:rPr>
        <w:t>effect</w:t>
      </w:r>
      <w:r>
        <w:rPr>
          <w:b/>
          <w:bCs/>
        </w:rPr>
        <w:t xml:space="preserve"> </w:t>
      </w:r>
      <w:r>
        <w:t xml:space="preserve">of the proposed action is to update </w:t>
      </w:r>
      <w:r w:rsidR="007214AA" w:rsidRPr="007214AA">
        <w:t>14 CCR § 1052 to clarify that timber owners or their agents must submit a Completion Report and Stocking Report within one month of completing Emergency Notice timber operations or upon notice expiration, consistent with PRC §§ 4585 and 4587. The action also reflects CAL FIRE’s request to remove references to specific Emergency Notice forms to ensure clarity and promote the use of the most current and applicable forms.</w:t>
      </w:r>
    </w:p>
    <w:p w14:paraId="156AE61E" w14:textId="77777777" w:rsidR="0039476B" w:rsidRDefault="0039476B">
      <w:pPr>
        <w:pStyle w:val="BodyText"/>
        <w:kinsoku w:val="0"/>
        <w:overflowPunct w:val="0"/>
      </w:pPr>
    </w:p>
    <w:p w14:paraId="410AD7C1" w14:textId="77777777" w:rsidR="0039476B" w:rsidRDefault="0039476B">
      <w:pPr>
        <w:pStyle w:val="BodyText"/>
        <w:kinsoku w:val="0"/>
        <w:overflowPunct w:val="0"/>
        <w:ind w:left="120"/>
      </w:pPr>
      <w:r>
        <w:t>There is no economic impact associated with the proposed action.</w:t>
      </w:r>
    </w:p>
    <w:p w14:paraId="5803CC32" w14:textId="77777777" w:rsidR="0039476B" w:rsidRDefault="0039476B">
      <w:pPr>
        <w:pStyle w:val="BodyText"/>
        <w:kinsoku w:val="0"/>
        <w:overflowPunct w:val="0"/>
      </w:pPr>
    </w:p>
    <w:p w14:paraId="24BD8623" w14:textId="77777777" w:rsidR="0039476B" w:rsidRDefault="0039476B">
      <w:pPr>
        <w:pStyle w:val="Heading1"/>
        <w:kinsoku w:val="0"/>
        <w:overflowPunct w:val="0"/>
      </w:pPr>
      <w:r>
        <w:t>Creation or Elimination of Jobs within the State of California</w:t>
      </w:r>
    </w:p>
    <w:p w14:paraId="15CFBCBE" w14:textId="77777777" w:rsidR="0039476B" w:rsidRDefault="0039476B">
      <w:pPr>
        <w:pStyle w:val="BodyText"/>
        <w:kinsoku w:val="0"/>
        <w:overflowPunct w:val="0"/>
        <w:spacing w:before="1"/>
        <w:ind w:left="120" w:right="128"/>
      </w:pPr>
      <w:r>
        <w:t>The proposed action does not mandate any action on behalf of the regulated public and represents a continuation of existing forest practice regulations. It is anticipated that any firms or jobs which exist to engage in this work will not be affected. No creation or elimination of jobs will occur.</w:t>
      </w:r>
    </w:p>
    <w:p w14:paraId="5D887833" w14:textId="77777777" w:rsidR="0039476B" w:rsidRDefault="0039476B">
      <w:pPr>
        <w:pStyle w:val="BodyText"/>
        <w:kinsoku w:val="0"/>
        <w:overflowPunct w:val="0"/>
        <w:spacing w:before="11"/>
        <w:rPr>
          <w:sz w:val="23"/>
          <w:szCs w:val="23"/>
        </w:rPr>
      </w:pPr>
    </w:p>
    <w:p w14:paraId="577818B0" w14:textId="77777777" w:rsidR="0039476B" w:rsidRDefault="0039476B">
      <w:pPr>
        <w:pStyle w:val="BodyText"/>
        <w:kinsoku w:val="0"/>
        <w:overflowPunct w:val="0"/>
        <w:ind w:left="120" w:right="594"/>
      </w:pPr>
      <w:r>
        <w:rPr>
          <w:b/>
          <w:bCs/>
        </w:rPr>
        <w:t xml:space="preserve">Creation of New or Elimination of Businesses within the State of California </w:t>
      </w:r>
      <w:r>
        <w:t xml:space="preserve">The regulatory amendments as proposed represent a continuation of existing forest practice regulations and are intended to clarify their application. Given that the businesses which would be affected by these regulations are already extant, it is expected that proposed regulation will neither create new businesses nor eliminate </w:t>
      </w:r>
      <w:r>
        <w:lastRenderedPageBreak/>
        <w:t>existing businesses in the State of California.</w:t>
      </w:r>
    </w:p>
    <w:p w14:paraId="355801D0" w14:textId="77777777" w:rsidR="0039476B" w:rsidRDefault="0039476B">
      <w:pPr>
        <w:pStyle w:val="BodyText"/>
        <w:kinsoku w:val="0"/>
        <w:overflowPunct w:val="0"/>
        <w:spacing w:before="10"/>
        <w:rPr>
          <w:sz w:val="23"/>
          <w:szCs w:val="23"/>
        </w:rPr>
      </w:pPr>
    </w:p>
    <w:p w14:paraId="0C4A554B" w14:textId="77777777" w:rsidR="0039476B" w:rsidRDefault="0039476B">
      <w:pPr>
        <w:pStyle w:val="BodyText"/>
        <w:kinsoku w:val="0"/>
        <w:overflowPunct w:val="0"/>
        <w:spacing w:before="1"/>
        <w:ind w:left="120" w:right="211"/>
      </w:pPr>
      <w:r>
        <w:rPr>
          <w:b/>
          <w:bCs/>
        </w:rPr>
        <w:t xml:space="preserve">Expansion of Businesses Currently Doing Business within the State of California </w:t>
      </w:r>
      <w:r>
        <w:t>The regulatory amendments as proposed represent a continuation of existing forest practice regulations and are intended to clarify their application. The proposed regulation will not result in the expansion of businesses currently doing business within the State.</w:t>
      </w:r>
    </w:p>
    <w:p w14:paraId="1AB6D1B9" w14:textId="77777777" w:rsidR="0039476B" w:rsidRDefault="0039476B">
      <w:pPr>
        <w:pStyle w:val="BodyText"/>
        <w:kinsoku w:val="0"/>
        <w:overflowPunct w:val="0"/>
      </w:pPr>
    </w:p>
    <w:p w14:paraId="729877E0" w14:textId="77777777" w:rsidR="0039476B" w:rsidRDefault="0039476B">
      <w:pPr>
        <w:pStyle w:val="Heading1"/>
        <w:kinsoku w:val="0"/>
        <w:overflowPunct w:val="0"/>
        <w:ind w:right="638"/>
      </w:pPr>
      <w:r>
        <w:t>Benefits of the Regulations to the Health and Welfare of California Residents, Worker Safety, and the State’s Environment</w:t>
      </w:r>
    </w:p>
    <w:p w14:paraId="5E3BCC20" w14:textId="77777777" w:rsidR="007214AA" w:rsidRPr="007214AA" w:rsidRDefault="007214AA" w:rsidP="007214AA">
      <w:pPr>
        <w:pStyle w:val="BodyText"/>
        <w:kinsoku w:val="0"/>
        <w:overflowPunct w:val="0"/>
        <w:ind w:left="120" w:right="528"/>
      </w:pPr>
      <w:r w:rsidRPr="007214AA">
        <w:t>The action improves clarity and compliance with existing requirements for submitting Completion and Stocking Reports following Emergency Notice timber operations. By reinforcing these post-operation reporting obligations, the regulation supports CAL FIRE’s ability to monitor reforestation outcomes, verify regulatory compliance, and ensure responsible forest stewardship.</w:t>
      </w:r>
      <w:r>
        <w:br w:type="textWrapping" w:clear="all"/>
      </w:r>
    </w:p>
    <w:p w14:paraId="3712DC4A" w14:textId="77777777" w:rsidR="007214AA" w:rsidRPr="007214AA" w:rsidRDefault="007214AA" w:rsidP="007214AA">
      <w:pPr>
        <w:pStyle w:val="BodyText"/>
        <w:kinsoku w:val="0"/>
        <w:overflowPunct w:val="0"/>
        <w:ind w:left="120" w:right="528"/>
      </w:pPr>
      <w:r w:rsidRPr="007214AA">
        <w:t>This action benefits the environment by promoting timely documentation of harvest completion and restocking, which are essential for sustaining healthy, productive forests. It also supports the health and safety of workers and the public by ensuring that Emergency Notice operations conclude with proper oversight and transparency. The regulation increases consistency within the Forest Practice Rules, contributing to a more predictable and effective regulatory framework.</w:t>
      </w:r>
    </w:p>
    <w:p w14:paraId="6999D59A" w14:textId="77777777" w:rsidR="0039476B" w:rsidRDefault="0039476B">
      <w:pPr>
        <w:pStyle w:val="BodyText"/>
        <w:kinsoku w:val="0"/>
        <w:overflowPunct w:val="0"/>
        <w:spacing w:before="9"/>
        <w:rPr>
          <w:sz w:val="10"/>
          <w:szCs w:val="10"/>
        </w:rPr>
      </w:pPr>
    </w:p>
    <w:p w14:paraId="4DA4632A" w14:textId="77777777" w:rsidR="0039476B" w:rsidRDefault="0039476B">
      <w:pPr>
        <w:pStyle w:val="Heading1"/>
        <w:kinsoku w:val="0"/>
        <w:overflowPunct w:val="0"/>
        <w:spacing w:before="92"/>
        <w:ind w:right="424"/>
      </w:pPr>
      <w:r>
        <w:t>Business Reporting Requirement (pursuant to GOV § 11346.5(a)(11) and GOV § 11346.3(d))</w:t>
      </w:r>
    </w:p>
    <w:p w14:paraId="367D2384" w14:textId="77777777" w:rsidR="0039476B" w:rsidRDefault="0039476B">
      <w:pPr>
        <w:pStyle w:val="BodyText"/>
        <w:kinsoku w:val="0"/>
        <w:overflowPunct w:val="0"/>
        <w:ind w:left="120"/>
      </w:pPr>
      <w:r>
        <w:t>The proposed regulation does not require a business reporting requirement.</w:t>
      </w:r>
    </w:p>
    <w:p w14:paraId="79C84FF3" w14:textId="77777777" w:rsidR="0039476B" w:rsidRDefault="0039476B">
      <w:pPr>
        <w:pStyle w:val="BodyText"/>
        <w:kinsoku w:val="0"/>
        <w:overflowPunct w:val="0"/>
      </w:pPr>
    </w:p>
    <w:p w14:paraId="14B004AE" w14:textId="77777777" w:rsidR="0039476B" w:rsidRDefault="0039476B">
      <w:pPr>
        <w:pStyle w:val="Heading1"/>
        <w:kinsoku w:val="0"/>
        <w:overflowPunct w:val="0"/>
        <w:ind w:right="639"/>
      </w:pPr>
      <w:r>
        <w:t>STATEMENTS OF THE RESULTS OF THE ECONOMIC IMPACT ASSESSMENT (EIA)</w:t>
      </w:r>
    </w:p>
    <w:p w14:paraId="3FB0542A" w14:textId="77777777" w:rsidR="0039476B" w:rsidRDefault="0039476B">
      <w:pPr>
        <w:pStyle w:val="BodyText"/>
        <w:kinsoku w:val="0"/>
        <w:overflowPunct w:val="0"/>
        <w:ind w:left="119" w:right="209"/>
      </w:pPr>
      <w:r>
        <w:t xml:space="preserve">The results of the economic impact assessment are provided below pursuant to </w:t>
      </w:r>
      <w:r>
        <w:rPr>
          <w:b/>
          <w:bCs/>
        </w:rPr>
        <w:t xml:space="preserve">GOV § 11346.5(a)(10) </w:t>
      </w:r>
      <w:r>
        <w:t xml:space="preserve">and prepared pursuant to </w:t>
      </w:r>
      <w:r>
        <w:rPr>
          <w:b/>
          <w:bCs/>
        </w:rPr>
        <w:t>GOV § 11346.3(b)(1)(A)-(D)</w:t>
      </w:r>
      <w:r>
        <w:t>. The proposed action:</w:t>
      </w:r>
    </w:p>
    <w:p w14:paraId="6A9997A3" w14:textId="77777777" w:rsidR="0039476B" w:rsidRDefault="0039476B">
      <w:pPr>
        <w:pStyle w:val="ListParagraph"/>
        <w:numPr>
          <w:ilvl w:val="0"/>
          <w:numId w:val="2"/>
        </w:numPr>
        <w:tabs>
          <w:tab w:val="left" w:pos="841"/>
        </w:tabs>
        <w:kinsoku w:val="0"/>
        <w:overflowPunct w:val="0"/>
        <w:spacing w:line="292" w:lineRule="exact"/>
        <w:ind w:hanging="362"/>
      </w:pPr>
      <w:r>
        <w:t>Will not create jobs within California (GOV §</w:t>
      </w:r>
      <w:r>
        <w:rPr>
          <w:spacing w:val="-10"/>
        </w:rPr>
        <w:t xml:space="preserve"> </w:t>
      </w:r>
      <w:r>
        <w:t>11346.3(b)(1)(A)).</w:t>
      </w:r>
    </w:p>
    <w:p w14:paraId="215B33E4" w14:textId="77777777" w:rsidR="0039476B" w:rsidRDefault="0039476B">
      <w:pPr>
        <w:pStyle w:val="ListParagraph"/>
        <w:numPr>
          <w:ilvl w:val="0"/>
          <w:numId w:val="2"/>
        </w:numPr>
        <w:tabs>
          <w:tab w:val="left" w:pos="841"/>
        </w:tabs>
        <w:kinsoku w:val="0"/>
        <w:overflowPunct w:val="0"/>
        <w:spacing w:line="292" w:lineRule="exact"/>
        <w:ind w:hanging="362"/>
      </w:pPr>
      <w:r>
        <w:t>Will not eliminate jobs within California (GOV §</w:t>
      </w:r>
      <w:r>
        <w:rPr>
          <w:spacing w:val="-12"/>
        </w:rPr>
        <w:t xml:space="preserve"> </w:t>
      </w:r>
      <w:r>
        <w:t>11346.3(b)(1)(A)).</w:t>
      </w:r>
    </w:p>
    <w:p w14:paraId="42E265FA" w14:textId="77777777" w:rsidR="0039476B" w:rsidRDefault="0039476B">
      <w:pPr>
        <w:pStyle w:val="ListParagraph"/>
        <w:numPr>
          <w:ilvl w:val="0"/>
          <w:numId w:val="2"/>
        </w:numPr>
        <w:tabs>
          <w:tab w:val="left" w:pos="841"/>
        </w:tabs>
        <w:kinsoku w:val="0"/>
        <w:overflowPunct w:val="0"/>
        <w:spacing w:line="292" w:lineRule="exact"/>
        <w:ind w:hanging="362"/>
      </w:pPr>
      <w:r>
        <w:t>Will not create new businesses (GOV §</w:t>
      </w:r>
      <w:r>
        <w:rPr>
          <w:spacing w:val="-6"/>
        </w:rPr>
        <w:t xml:space="preserve"> </w:t>
      </w:r>
      <w:r>
        <w:t>11346.3(b)(1)(B)).</w:t>
      </w:r>
    </w:p>
    <w:p w14:paraId="026F11D9" w14:textId="77777777" w:rsidR="0039476B" w:rsidRDefault="0039476B">
      <w:pPr>
        <w:pStyle w:val="ListParagraph"/>
        <w:numPr>
          <w:ilvl w:val="0"/>
          <w:numId w:val="2"/>
        </w:numPr>
        <w:tabs>
          <w:tab w:val="left" w:pos="841"/>
        </w:tabs>
        <w:kinsoku w:val="0"/>
        <w:overflowPunct w:val="0"/>
        <w:spacing w:line="292" w:lineRule="exact"/>
        <w:ind w:hanging="362"/>
      </w:pPr>
      <w:r>
        <w:t>Will not eliminate existing businesses within California (GOV §</w:t>
      </w:r>
      <w:r>
        <w:rPr>
          <w:spacing w:val="-43"/>
        </w:rPr>
        <w:t xml:space="preserve"> </w:t>
      </w:r>
      <w:r>
        <w:t>11346.3(b)(1)(B)).</w:t>
      </w:r>
    </w:p>
    <w:p w14:paraId="7A0C6621" w14:textId="77777777" w:rsidR="0039476B" w:rsidRDefault="0039476B">
      <w:pPr>
        <w:pStyle w:val="ListParagraph"/>
        <w:numPr>
          <w:ilvl w:val="0"/>
          <w:numId w:val="2"/>
        </w:numPr>
        <w:tabs>
          <w:tab w:val="left" w:pos="841"/>
        </w:tabs>
        <w:kinsoku w:val="0"/>
        <w:overflowPunct w:val="0"/>
        <w:ind w:right="1042" w:hanging="360"/>
      </w:pPr>
      <w:r>
        <w:t>Will</w:t>
      </w:r>
      <w:r>
        <w:rPr>
          <w:spacing w:val="-5"/>
        </w:rPr>
        <w:t xml:space="preserve"> </w:t>
      </w:r>
      <w:r>
        <w:t>not</w:t>
      </w:r>
      <w:r>
        <w:rPr>
          <w:spacing w:val="-5"/>
        </w:rPr>
        <w:t xml:space="preserve"> </w:t>
      </w:r>
      <w:r>
        <w:t>affect</w:t>
      </w:r>
      <w:r>
        <w:rPr>
          <w:spacing w:val="-5"/>
        </w:rPr>
        <w:t xml:space="preserve"> </w:t>
      </w:r>
      <w:r>
        <w:t>the</w:t>
      </w:r>
      <w:r>
        <w:rPr>
          <w:spacing w:val="-5"/>
        </w:rPr>
        <w:t xml:space="preserve"> </w:t>
      </w:r>
      <w:r>
        <w:t>expansion</w:t>
      </w:r>
      <w:r>
        <w:rPr>
          <w:spacing w:val="-5"/>
        </w:rPr>
        <w:t xml:space="preserve"> </w:t>
      </w:r>
      <w:r>
        <w:t>or</w:t>
      </w:r>
      <w:r>
        <w:rPr>
          <w:spacing w:val="-4"/>
        </w:rPr>
        <w:t xml:space="preserve"> </w:t>
      </w:r>
      <w:r>
        <w:t>contraction</w:t>
      </w:r>
      <w:r>
        <w:rPr>
          <w:spacing w:val="-5"/>
        </w:rPr>
        <w:t xml:space="preserve"> </w:t>
      </w:r>
      <w:r>
        <w:t>of</w:t>
      </w:r>
      <w:r>
        <w:rPr>
          <w:spacing w:val="-5"/>
        </w:rPr>
        <w:t xml:space="preserve"> </w:t>
      </w:r>
      <w:r>
        <w:t>businesses</w:t>
      </w:r>
      <w:r>
        <w:rPr>
          <w:spacing w:val="-5"/>
        </w:rPr>
        <w:t xml:space="preserve"> </w:t>
      </w:r>
      <w:r>
        <w:t>currently</w:t>
      </w:r>
      <w:r>
        <w:rPr>
          <w:spacing w:val="-5"/>
        </w:rPr>
        <w:t xml:space="preserve"> </w:t>
      </w:r>
      <w:r>
        <w:t>doing business within California (GOV §</w:t>
      </w:r>
      <w:r>
        <w:rPr>
          <w:spacing w:val="-5"/>
        </w:rPr>
        <w:t xml:space="preserve"> </w:t>
      </w:r>
      <w:r>
        <w:t>11346.3(b)(1)(C)).</w:t>
      </w:r>
    </w:p>
    <w:p w14:paraId="48B6F7F3" w14:textId="77777777" w:rsidR="0039476B" w:rsidRDefault="0039476B">
      <w:pPr>
        <w:pStyle w:val="ListParagraph"/>
        <w:numPr>
          <w:ilvl w:val="0"/>
          <w:numId w:val="2"/>
        </w:numPr>
        <w:tabs>
          <w:tab w:val="left" w:pos="841"/>
        </w:tabs>
        <w:kinsoku w:val="0"/>
        <w:overflowPunct w:val="0"/>
        <w:ind w:left="839" w:right="185" w:hanging="360"/>
      </w:pPr>
      <w:r>
        <w:t xml:space="preserve">Will yield nonmonetary benefits (GOV § 11346.3(b)(1)(D)). </w:t>
      </w:r>
      <w:r w:rsidR="007214AA" w:rsidRPr="007214AA">
        <w:t>The proposed action would result in increased clarity and consistency within the Forest Practice Rules by explicitly stating the requirement to submit Completion and Stocking Reports following Emergency Notice timber operations. This promotes timely compliance with post-operation obligations, enhances oversight of forest activities, and supports better tracking of reforestation progress, which benefits the environment and public transparency.</w:t>
      </w:r>
    </w:p>
    <w:p w14:paraId="2E530EB4" w14:textId="77777777" w:rsidR="002629AC" w:rsidRDefault="002629AC">
      <w:pPr>
        <w:pStyle w:val="BodyText"/>
        <w:kinsoku w:val="0"/>
        <w:overflowPunct w:val="0"/>
        <w:spacing w:before="7"/>
        <w:sectPr w:rsidR="002629AC">
          <w:footerReference w:type="default" r:id="rId7"/>
          <w:pgSz w:w="12240" w:h="15840"/>
          <w:pgMar w:top="1360" w:right="1340" w:bottom="980" w:left="1320" w:header="0" w:footer="788" w:gutter="0"/>
          <w:cols w:space="720"/>
          <w:noEndnote/>
        </w:sectPr>
      </w:pPr>
    </w:p>
    <w:p w14:paraId="4367D8AC" w14:textId="77777777" w:rsidR="0039476B" w:rsidRPr="00430FF4" w:rsidRDefault="0039476B">
      <w:pPr>
        <w:pStyle w:val="BodyText"/>
        <w:kinsoku w:val="0"/>
        <w:overflowPunct w:val="0"/>
        <w:spacing w:before="7"/>
      </w:pPr>
    </w:p>
    <w:p w14:paraId="01F00AB1" w14:textId="77777777" w:rsidR="0039476B" w:rsidRDefault="0039476B">
      <w:pPr>
        <w:pStyle w:val="Heading1"/>
        <w:kinsoku w:val="0"/>
        <w:overflowPunct w:val="0"/>
        <w:spacing w:before="201"/>
        <w:ind w:right="425"/>
      </w:pPr>
      <w:r>
        <w:t>REASONABLE ALTERNATIVES TO THE PROPOSED ACTION CONSIDERED BY THE BOARD, IF ANY, INCLUDING THE FOLLOWING AND THE BOARD’S</w:t>
      </w:r>
    </w:p>
    <w:p w14:paraId="70D6D15C" w14:textId="77777777" w:rsidR="0039476B" w:rsidRDefault="0039476B">
      <w:pPr>
        <w:pStyle w:val="BodyText"/>
        <w:kinsoku w:val="0"/>
        <w:overflowPunct w:val="0"/>
        <w:spacing w:before="80"/>
        <w:ind w:left="119" w:right="1173"/>
        <w:rPr>
          <w:b/>
          <w:bCs/>
        </w:rPr>
      </w:pPr>
      <w:r>
        <w:rPr>
          <w:b/>
          <w:bCs/>
        </w:rPr>
        <w:t>REASONS FOR REJECTING THOSE ALTERNATIVES (pursuant to GOV § 11346.2(b)(4)(A) and (B)):</w:t>
      </w:r>
    </w:p>
    <w:p w14:paraId="7C2AA4F1" w14:textId="77777777" w:rsidR="0039476B" w:rsidRDefault="0039476B">
      <w:pPr>
        <w:pStyle w:val="ListParagraph"/>
        <w:numPr>
          <w:ilvl w:val="0"/>
          <w:numId w:val="2"/>
        </w:numPr>
        <w:tabs>
          <w:tab w:val="left" w:pos="840"/>
        </w:tabs>
        <w:kinsoku w:val="0"/>
        <w:overflowPunct w:val="0"/>
        <w:ind w:left="839" w:right="816" w:hanging="360"/>
        <w:rPr>
          <w:b/>
          <w:bCs/>
        </w:rPr>
      </w:pPr>
      <w:r>
        <w:rPr>
          <w:b/>
          <w:bCs/>
        </w:rPr>
        <w:t>ALTERNATIVES THAT WOULD LESSEN ANY ADVERSE IMPACTS ON SMALL BUSINESS</w:t>
      </w:r>
      <w:r>
        <w:rPr>
          <w:b/>
          <w:bCs/>
          <w:spacing w:val="1"/>
        </w:rPr>
        <w:t xml:space="preserve"> </w:t>
      </w:r>
      <w:r>
        <w:rPr>
          <w:b/>
          <w:bCs/>
        </w:rPr>
        <w:t>AND/OR</w:t>
      </w:r>
    </w:p>
    <w:p w14:paraId="0B069F53" w14:textId="77777777" w:rsidR="0039476B" w:rsidRDefault="0039476B">
      <w:pPr>
        <w:pStyle w:val="ListParagraph"/>
        <w:numPr>
          <w:ilvl w:val="0"/>
          <w:numId w:val="2"/>
        </w:numPr>
        <w:tabs>
          <w:tab w:val="left" w:pos="840"/>
        </w:tabs>
        <w:kinsoku w:val="0"/>
        <w:overflowPunct w:val="0"/>
        <w:ind w:left="839" w:right="273" w:hanging="360"/>
        <w:rPr>
          <w:b/>
          <w:bCs/>
        </w:rPr>
      </w:pPr>
      <w:r>
        <w:rPr>
          <w:b/>
          <w:bCs/>
        </w:rPr>
        <w:t>ALTERNATIVES THAT ARE LESS BURDENSOME AND EQUALLY EFFECTIVE IN ACHIEVING THE PURPOSES OF THE REGULATION IN A MANNER THAT ENSURES FULL COMPLIANCE WITH THE AUTHORIZING STATUTE OR OTHER LAW BEING IMPLEMENTED OR MADE SPECIFIC</w:t>
      </w:r>
      <w:r>
        <w:rPr>
          <w:b/>
          <w:bCs/>
          <w:spacing w:val="-32"/>
        </w:rPr>
        <w:t xml:space="preserve"> </w:t>
      </w:r>
      <w:r>
        <w:rPr>
          <w:b/>
          <w:bCs/>
        </w:rPr>
        <w:t>BY THE PROPOSED</w:t>
      </w:r>
      <w:r>
        <w:rPr>
          <w:b/>
          <w:bCs/>
          <w:spacing w:val="-1"/>
        </w:rPr>
        <w:t xml:space="preserve"> </w:t>
      </w:r>
      <w:r>
        <w:rPr>
          <w:b/>
          <w:bCs/>
        </w:rPr>
        <w:t>REGULATION</w:t>
      </w:r>
    </w:p>
    <w:p w14:paraId="181AEAAD" w14:textId="77777777" w:rsidR="0039476B" w:rsidRDefault="0039476B">
      <w:pPr>
        <w:pStyle w:val="BodyText"/>
        <w:kinsoku w:val="0"/>
        <w:overflowPunct w:val="0"/>
        <w:ind w:left="119" w:right="148"/>
      </w:pPr>
      <w:r>
        <w:t xml:space="preserve">Pursuant to </w:t>
      </w:r>
      <w:r>
        <w:rPr>
          <w:b/>
          <w:bCs/>
        </w:rPr>
        <w:t>GOV § 11346.2(b)(4)</w:t>
      </w:r>
      <w:r>
        <w:t>, the Board must determine that no reasonable alternative it considers, or that has otherwise been identified and brought to the attention of the Board,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w:t>
      </w:r>
    </w:p>
    <w:p w14:paraId="5BA9B92D" w14:textId="77777777" w:rsidR="0039476B" w:rsidRDefault="0039476B">
      <w:pPr>
        <w:pStyle w:val="BodyText"/>
        <w:kinsoku w:val="0"/>
        <w:overflowPunct w:val="0"/>
        <w:spacing w:before="8"/>
        <w:rPr>
          <w:sz w:val="23"/>
          <w:szCs w:val="23"/>
        </w:rPr>
      </w:pPr>
    </w:p>
    <w:p w14:paraId="1931D462" w14:textId="77777777" w:rsidR="0039476B" w:rsidRDefault="0039476B">
      <w:pPr>
        <w:pStyle w:val="Heading1"/>
        <w:kinsoku w:val="0"/>
        <w:overflowPunct w:val="0"/>
        <w:ind w:left="119"/>
      </w:pPr>
      <w:r>
        <w:t>Alternative 1: No Action Alternative</w:t>
      </w:r>
    </w:p>
    <w:p w14:paraId="27AD6FB2" w14:textId="77777777" w:rsidR="002329C8" w:rsidRPr="002329C8" w:rsidRDefault="002329C8" w:rsidP="002329C8">
      <w:pPr>
        <w:pStyle w:val="BodyText"/>
        <w:kinsoku w:val="0"/>
        <w:overflowPunct w:val="0"/>
        <w:ind w:left="119" w:right="213"/>
      </w:pPr>
      <w:r w:rsidRPr="002329C8">
        <w:t>The Board considered taking no action, but this alternative was rejected because it would not address the current lack of clarity regarding whether Completion Reports are required for Emergency Notices. Without regulatory clarification, confusion among operators would continue, leading to inconsistent compliance and enforcement.</w:t>
      </w:r>
    </w:p>
    <w:p w14:paraId="43A2CD11" w14:textId="77777777" w:rsidR="0039476B" w:rsidRDefault="0039476B">
      <w:pPr>
        <w:pStyle w:val="BodyText"/>
        <w:kinsoku w:val="0"/>
        <w:overflowPunct w:val="0"/>
      </w:pPr>
    </w:p>
    <w:p w14:paraId="57A1D101" w14:textId="77777777" w:rsidR="0039476B" w:rsidRDefault="0039476B">
      <w:pPr>
        <w:pStyle w:val="Heading1"/>
        <w:kinsoku w:val="0"/>
        <w:overflowPunct w:val="0"/>
        <w:ind w:left="119"/>
      </w:pPr>
      <w:r>
        <w:t xml:space="preserve">Alternative #2: </w:t>
      </w:r>
      <w:r w:rsidR="002329C8" w:rsidRPr="002329C8">
        <w:t>Amend the definition of “Plan” to include Emergency Notices</w:t>
      </w:r>
    </w:p>
    <w:p w14:paraId="75DBE64E" w14:textId="77777777" w:rsidR="002329C8" w:rsidRPr="002329C8" w:rsidRDefault="002329C8" w:rsidP="002329C8">
      <w:pPr>
        <w:pStyle w:val="BodyText"/>
        <w:kinsoku w:val="0"/>
        <w:overflowPunct w:val="0"/>
        <w:spacing w:before="1"/>
        <w:ind w:left="119" w:right="342"/>
      </w:pPr>
      <w:r w:rsidRPr="002329C8">
        <w:t>This alternative was rejected because Emergency Notices are structurally and procedurally distinct from Timber Harvesting Plans (THPs), and including them within the definition of "Plan" could create unintended confusion and regulatory conflict. Emergency Notices operate under different rules and timelines, and modifying the definition of “Plan” would blur important distinctions between these regulatory frameworks.</w:t>
      </w:r>
    </w:p>
    <w:p w14:paraId="101F4177" w14:textId="77777777" w:rsidR="0039476B" w:rsidRDefault="0039476B">
      <w:pPr>
        <w:pStyle w:val="BodyText"/>
        <w:kinsoku w:val="0"/>
        <w:overflowPunct w:val="0"/>
        <w:spacing w:before="10"/>
        <w:rPr>
          <w:sz w:val="23"/>
          <w:szCs w:val="23"/>
        </w:rPr>
      </w:pPr>
    </w:p>
    <w:p w14:paraId="1A1F20EA" w14:textId="77777777" w:rsidR="0039476B" w:rsidRDefault="0039476B">
      <w:pPr>
        <w:pStyle w:val="Heading1"/>
        <w:kinsoku w:val="0"/>
        <w:overflowPunct w:val="0"/>
        <w:ind w:left="119"/>
      </w:pPr>
      <w:r>
        <w:t>Alternative #3: Proposed Action</w:t>
      </w:r>
    </w:p>
    <w:p w14:paraId="373E6AB4" w14:textId="77777777" w:rsidR="0039476B" w:rsidRDefault="002329C8">
      <w:pPr>
        <w:pStyle w:val="BodyText"/>
        <w:kinsoku w:val="0"/>
        <w:overflowPunct w:val="0"/>
        <w:ind w:left="119" w:right="198"/>
      </w:pPr>
      <w:r w:rsidRPr="002329C8">
        <w:t xml:space="preserve">The proposed action—directly amending § 1052—is the clearest and most appropriate solution. It maintains the structural integrity of the Forest Practice Rules, places the requirement where Emergency Notice procedures are already outlined, and supports effective communication of obligations to operators. </w:t>
      </w:r>
      <w:r>
        <w:br w:type="textWrapping" w:clear="all"/>
      </w:r>
      <w:r>
        <w:br w:type="textWrapping" w:clear="all"/>
      </w:r>
      <w:r w:rsidRPr="002329C8">
        <w:t>This alternative is the least burdensome and most effective means of ensuring consistent, lawful compliance with PRC § 4585 and § 4587. Alternatives 1 and 2 would not be more effective or equally effective in achieving the goals of the regulation, nor would they offer greater clarity or reduced burden to affected private persons and small businesses.</w:t>
      </w:r>
    </w:p>
    <w:p w14:paraId="70904FFB" w14:textId="77777777" w:rsidR="0039476B" w:rsidRDefault="0039476B">
      <w:pPr>
        <w:pStyle w:val="Heading1"/>
        <w:kinsoku w:val="0"/>
        <w:overflowPunct w:val="0"/>
        <w:spacing w:before="80"/>
      </w:pPr>
      <w:r>
        <w:t>Prescriptive Standards versus Performance Based Standards (pursuant to GOV</w:t>
      </w:r>
    </w:p>
    <w:p w14:paraId="6B595328" w14:textId="77777777" w:rsidR="0039476B" w:rsidRDefault="0039476B">
      <w:pPr>
        <w:pStyle w:val="BodyText"/>
        <w:kinsoku w:val="0"/>
        <w:overflowPunct w:val="0"/>
        <w:ind w:left="120"/>
        <w:rPr>
          <w:b/>
          <w:bCs/>
        </w:rPr>
      </w:pPr>
      <w:r>
        <w:rPr>
          <w:b/>
          <w:bCs/>
        </w:rPr>
        <w:t>§§11340.1(a), 11346.2(b)(1) and 11346.2(b)(4)(A)):</w:t>
      </w:r>
    </w:p>
    <w:p w14:paraId="5CD812DA" w14:textId="77777777" w:rsidR="0039476B" w:rsidRDefault="0039476B">
      <w:pPr>
        <w:pStyle w:val="BodyText"/>
        <w:kinsoku w:val="0"/>
        <w:overflowPunct w:val="0"/>
        <w:ind w:left="120" w:right="260"/>
      </w:pPr>
      <w:r>
        <w:lastRenderedPageBreak/>
        <w:t xml:space="preserve">Pursuant to </w:t>
      </w:r>
      <w:r>
        <w:rPr>
          <w:b/>
          <w:bCs/>
        </w:rPr>
        <w:t>GOV §11340.1(a)</w:t>
      </w:r>
      <w:r>
        <w:t xml:space="preserve">, agencies shall actively seek to reduce the unnecessary regulatory burden on private individuals and entities by substituting performance standards for prescriptive standards wherever performance standards can </w:t>
      </w:r>
      <w:r w:rsidR="002329C8">
        <w:t>be</w:t>
      </w:r>
      <w:r>
        <w:t xml:space="preserve"> expected to be as effective and less burdensome, and that this substitution shall be considered during the agency rulemaking process.</w:t>
      </w:r>
    </w:p>
    <w:p w14:paraId="68580FA2" w14:textId="77777777" w:rsidR="0039476B" w:rsidRDefault="0039476B">
      <w:pPr>
        <w:pStyle w:val="BodyText"/>
        <w:kinsoku w:val="0"/>
        <w:overflowPunct w:val="0"/>
      </w:pPr>
    </w:p>
    <w:p w14:paraId="155C9CE9" w14:textId="77777777" w:rsidR="0039476B" w:rsidRDefault="0039476B">
      <w:pPr>
        <w:pStyle w:val="BodyText"/>
        <w:kinsoku w:val="0"/>
        <w:overflowPunct w:val="0"/>
        <w:ind w:left="120" w:right="128"/>
      </w:pPr>
      <w:r>
        <w:t xml:space="preserve">The proposed action </w:t>
      </w:r>
      <w:r w:rsidR="002329C8">
        <w:t>is</w:t>
      </w:r>
      <w:r>
        <w:t xml:space="preserve"> prescriptive </w:t>
      </w:r>
      <w:r w:rsidR="002329C8" w:rsidRPr="002329C8">
        <w:t>only to the extent necessary to clearly communicate the statutory obligation for submitting Completion and Stocking Reports following Emergency Notice timber operations. The action reinforces an existing legal requirement (PRC §§ 4585 and 4587) and ensures that this obligation is explicitly stated in regulation. Given the nature of reporting requirements—timelines, responsible parties, and documentation—performance-based language would not achieve the necessary clarity or enforceability.</w:t>
      </w:r>
    </w:p>
    <w:p w14:paraId="1CFC4F11" w14:textId="77777777" w:rsidR="0039476B" w:rsidRDefault="0039476B">
      <w:pPr>
        <w:pStyle w:val="BodyText"/>
        <w:kinsoku w:val="0"/>
        <w:overflowPunct w:val="0"/>
      </w:pPr>
    </w:p>
    <w:p w14:paraId="16721067" w14:textId="77777777" w:rsidR="0039476B" w:rsidRDefault="0039476B">
      <w:pPr>
        <w:pStyle w:val="BodyText"/>
        <w:kinsoku w:val="0"/>
        <w:overflowPunct w:val="0"/>
        <w:spacing w:before="1"/>
        <w:ind w:left="120" w:right="527"/>
      </w:pPr>
      <w:r>
        <w:t xml:space="preserve">Pursuant to </w:t>
      </w:r>
      <w:r>
        <w:rPr>
          <w:b/>
          <w:bCs/>
        </w:rPr>
        <w:t>GOV § 11346.2(b)(1)</w:t>
      </w:r>
      <w:r>
        <w:t>, the proposed action does not mandate the use of specific technologies or equipment.</w:t>
      </w:r>
    </w:p>
    <w:p w14:paraId="30EBEF00" w14:textId="77777777" w:rsidR="0039476B" w:rsidRDefault="0039476B">
      <w:pPr>
        <w:pStyle w:val="BodyText"/>
        <w:kinsoku w:val="0"/>
        <w:overflowPunct w:val="0"/>
        <w:spacing w:before="11"/>
        <w:rPr>
          <w:sz w:val="23"/>
          <w:szCs w:val="23"/>
        </w:rPr>
      </w:pPr>
    </w:p>
    <w:p w14:paraId="663C9396" w14:textId="77777777" w:rsidR="0039476B" w:rsidRDefault="0039476B">
      <w:pPr>
        <w:pStyle w:val="BodyText"/>
        <w:kinsoku w:val="0"/>
        <w:overflowPunct w:val="0"/>
        <w:ind w:left="120" w:right="407"/>
      </w:pPr>
      <w:r>
        <w:t xml:space="preserve">Pursuant to </w:t>
      </w:r>
      <w:r>
        <w:rPr>
          <w:b/>
          <w:bCs/>
        </w:rPr>
        <w:t>GOV § 11346.2(b)(4)(A)</w:t>
      </w:r>
      <w:r>
        <w:t>, the abovementioned alternatives were considered and ultimately rejected by the Board in favor of the proposed action. The proposed action does not mandate the use of specific technologies or equipment, but does prescribe specific actions.</w:t>
      </w:r>
    </w:p>
    <w:p w14:paraId="3CF6D15C" w14:textId="77777777" w:rsidR="0039476B" w:rsidRDefault="0039476B">
      <w:pPr>
        <w:pStyle w:val="BodyText"/>
        <w:kinsoku w:val="0"/>
        <w:overflowPunct w:val="0"/>
        <w:spacing w:before="10"/>
        <w:rPr>
          <w:sz w:val="23"/>
          <w:szCs w:val="23"/>
        </w:rPr>
      </w:pPr>
    </w:p>
    <w:p w14:paraId="63CA9787" w14:textId="77777777" w:rsidR="0039476B" w:rsidRDefault="0039476B">
      <w:pPr>
        <w:pStyle w:val="Heading1"/>
        <w:kinsoku w:val="0"/>
        <w:overflowPunct w:val="0"/>
        <w:spacing w:before="1"/>
        <w:ind w:right="425"/>
      </w:pPr>
      <w:r w:rsidRPr="00FE3098">
        <w:t>FACTS, EVIDENC</w:t>
      </w:r>
      <w:r>
        <w:t>E, DOCUMENTS, TESTIMONY, OR OTHER EVIDENCE RELIED UPON TO SUPPORT INITIAL DETERMINATION IN THE NOTICE THAT THE PROPOSED ACTION WILL NOT HAVE A SIGNIFICANT ADVERSE ECONOMIC IMPACT ON BUSINESS (pursuant to GOV § 11346.2(b)(5))</w:t>
      </w:r>
    </w:p>
    <w:p w14:paraId="6E23FF77" w14:textId="77777777" w:rsidR="0039476B" w:rsidRDefault="0039476B">
      <w:pPr>
        <w:pStyle w:val="BodyText"/>
        <w:kinsoku w:val="0"/>
        <w:overflowPunct w:val="0"/>
        <w:ind w:left="120" w:right="101"/>
      </w:pPr>
      <w:r>
        <w:t>The fiscal and economic impact analysis for these amendments relies upon contemplation, by the Board, of the economic impact of the provisions of the proposed action through the lens of the decades of experience practicing forestry in California that the Board brings to bear on regulatory development.</w:t>
      </w:r>
    </w:p>
    <w:p w14:paraId="760C67DF" w14:textId="77777777" w:rsidR="0039476B" w:rsidRDefault="0039476B">
      <w:pPr>
        <w:pStyle w:val="BodyText"/>
        <w:kinsoku w:val="0"/>
        <w:overflowPunct w:val="0"/>
      </w:pPr>
    </w:p>
    <w:p w14:paraId="54F9C8BA" w14:textId="77777777" w:rsidR="0039476B" w:rsidRDefault="0039476B">
      <w:pPr>
        <w:pStyle w:val="BodyText"/>
        <w:kinsoku w:val="0"/>
        <w:overflowPunct w:val="0"/>
        <w:ind w:left="120" w:right="128"/>
      </w:pPr>
      <w:r>
        <w:t>The proposed regulation adds flexibility and more latitude to landowners to achieve desired outcomes than is currently extant within the rules. Landowners may use a broader set of silvicultural prescriptions under this proposal, creating the opportunity to make a more economically viable project. There is no economic impact associated with the proposed action.</w:t>
      </w:r>
    </w:p>
    <w:p w14:paraId="0D966502" w14:textId="77777777" w:rsidR="0039476B" w:rsidRDefault="0039476B">
      <w:pPr>
        <w:pStyle w:val="BodyText"/>
        <w:kinsoku w:val="0"/>
        <w:overflowPunct w:val="0"/>
      </w:pPr>
    </w:p>
    <w:p w14:paraId="5DADC49B" w14:textId="77777777" w:rsidR="0039476B" w:rsidRDefault="0039476B">
      <w:pPr>
        <w:pStyle w:val="BodyText"/>
        <w:kinsoku w:val="0"/>
        <w:overflowPunct w:val="0"/>
        <w:ind w:left="120" w:right="968"/>
      </w:pPr>
      <w:r>
        <w:t>The proposed action will not have a statewide adverse economic impact directly affecting businesses as it does not impose any requirements on businesses.</w:t>
      </w:r>
    </w:p>
    <w:p w14:paraId="6E5C6811" w14:textId="77777777" w:rsidR="0039476B" w:rsidRDefault="0039476B">
      <w:pPr>
        <w:pStyle w:val="Heading1"/>
        <w:kinsoku w:val="0"/>
        <w:overflowPunct w:val="0"/>
        <w:spacing w:before="80"/>
        <w:ind w:right="720"/>
      </w:pPr>
      <w:r>
        <w:t>DESCRIPTION OF EFFORTS TO AVOID UNNECESSARY DUPLICATION OR CONFLICT WITH THE CODE OF FEDERAL REGULATION (pursuant to GOV § 11346.2(b)(6)</w:t>
      </w:r>
    </w:p>
    <w:p w14:paraId="6A113462" w14:textId="77777777" w:rsidR="0039476B" w:rsidRDefault="0039476B">
      <w:pPr>
        <w:pStyle w:val="BodyText"/>
        <w:kinsoku w:val="0"/>
        <w:overflowPunct w:val="0"/>
        <w:ind w:left="119" w:right="209"/>
      </w:pPr>
      <w:r>
        <w:t>The Code of Federal Regulations has been reviewed and based on this review, the Board found that the proposed action neither conflicts with, nor duplicates Federal regulations. There are no comparable Federal regulations related to conducting Timber Operations on private, state, or municipal forest lands.</w:t>
      </w:r>
    </w:p>
    <w:p w14:paraId="31137622" w14:textId="77777777" w:rsidR="0039476B" w:rsidRDefault="0039476B">
      <w:pPr>
        <w:pStyle w:val="BodyText"/>
        <w:kinsoku w:val="0"/>
        <w:overflowPunct w:val="0"/>
      </w:pPr>
    </w:p>
    <w:p w14:paraId="52A7CAB8" w14:textId="77777777" w:rsidR="0039476B" w:rsidRDefault="0039476B">
      <w:pPr>
        <w:pStyle w:val="Heading1"/>
        <w:kinsoku w:val="0"/>
        <w:overflowPunct w:val="0"/>
        <w:ind w:right="1492"/>
      </w:pPr>
      <w:r>
        <w:t xml:space="preserve">POSSIBLE SIGNIFICANT ADVERSE ENVIRONMENTAL EFFECTS AND </w:t>
      </w:r>
      <w:r>
        <w:lastRenderedPageBreak/>
        <w:t>MITIGATIONS CEQA</w:t>
      </w:r>
    </w:p>
    <w:p w14:paraId="0A18E2EB" w14:textId="77777777" w:rsidR="0039476B" w:rsidRDefault="0039476B">
      <w:pPr>
        <w:pStyle w:val="BodyText"/>
        <w:kinsoku w:val="0"/>
        <w:overflowPunct w:val="0"/>
        <w:ind w:left="120" w:right="555"/>
      </w:pPr>
      <w:r>
        <w:t>CEQA requires review, evaluation, and environmental documentation of potential significant environmental impacts from a qualified Project. Pursuant to case law, the review and processing of Plans has been found to be a Project under CEQA.</w:t>
      </w:r>
    </w:p>
    <w:p w14:paraId="77C5FE53" w14:textId="77777777" w:rsidR="0039476B" w:rsidRDefault="0039476B">
      <w:pPr>
        <w:pStyle w:val="BodyText"/>
        <w:kinsoku w:val="0"/>
        <w:overflowPunct w:val="0"/>
      </w:pPr>
    </w:p>
    <w:p w14:paraId="01BAB5C2" w14:textId="77777777" w:rsidR="0039476B" w:rsidRDefault="0039476B">
      <w:pPr>
        <w:pStyle w:val="BodyText"/>
        <w:kinsoku w:val="0"/>
        <w:overflowPunct w:val="0"/>
        <w:spacing w:before="1"/>
        <w:ind w:left="120" w:right="521"/>
        <w:jc w:val="both"/>
      </w:pPr>
      <w:r>
        <w:t>Additionally, the Board’s rulemaking process is a certified regulatory program having been certified by the Secretary of Resources as meeting the requirements of PRC § 21080.5.</w:t>
      </w:r>
    </w:p>
    <w:p w14:paraId="72DB93D6" w14:textId="77777777" w:rsidR="0039476B" w:rsidRDefault="0039476B">
      <w:pPr>
        <w:pStyle w:val="BodyText"/>
        <w:kinsoku w:val="0"/>
        <w:overflowPunct w:val="0"/>
        <w:spacing w:before="11"/>
        <w:rPr>
          <w:sz w:val="23"/>
          <w:szCs w:val="23"/>
        </w:rPr>
      </w:pPr>
    </w:p>
    <w:p w14:paraId="6CC37A11" w14:textId="77777777" w:rsidR="0039476B" w:rsidRDefault="0039476B">
      <w:pPr>
        <w:pStyle w:val="BodyText"/>
        <w:kinsoku w:val="0"/>
        <w:overflowPunct w:val="0"/>
        <w:ind w:left="120" w:right="342"/>
      </w:pPr>
      <w:r>
        <w:t>While certified regulatory programs are excused from certain procedural requirements of CEQA, they must nevertheless follow CEQA's substantive requirements, including PRC § 21081. Under PRC § 21081, a decision-making agency is prohibited from approving a Project for which significant environmental effects have been identified unless it makes specific findings about alternatives and mitigation measures</w:t>
      </w:r>
    </w:p>
    <w:p w14:paraId="222EE2BA" w14:textId="77777777" w:rsidR="0039476B" w:rsidRDefault="0039476B">
      <w:pPr>
        <w:pStyle w:val="BodyText"/>
        <w:kinsoku w:val="0"/>
        <w:overflowPunct w:val="0"/>
      </w:pPr>
    </w:p>
    <w:p w14:paraId="7BBCB97B" w14:textId="77777777" w:rsidR="0039476B" w:rsidRDefault="0039476B">
      <w:pPr>
        <w:pStyle w:val="BodyText"/>
        <w:kinsoku w:val="0"/>
        <w:overflowPunct w:val="0"/>
        <w:ind w:left="120" w:right="327"/>
      </w:pPr>
      <w:r>
        <w:t>Further, pursuant to PRC § 21080.5(d)(2)(B), guidelines for the orderly evaluation of proposed activities and the preparation of the Plan or other written documentation in a manner consistent with the environmental protection purposes of the regulatory program are required by the proposed action and existing rules.</w:t>
      </w:r>
    </w:p>
    <w:p w14:paraId="1224A191" w14:textId="77777777" w:rsidR="0039476B" w:rsidRDefault="0039476B">
      <w:pPr>
        <w:pStyle w:val="BodyText"/>
        <w:kinsoku w:val="0"/>
        <w:overflowPunct w:val="0"/>
        <w:spacing w:before="10"/>
        <w:rPr>
          <w:sz w:val="23"/>
          <w:szCs w:val="23"/>
        </w:rPr>
      </w:pPr>
    </w:p>
    <w:p w14:paraId="2256F126" w14:textId="77777777" w:rsidR="00FE3098" w:rsidRPr="00FE3098" w:rsidRDefault="00FE3098" w:rsidP="00FE3098">
      <w:pPr>
        <w:pStyle w:val="BodyText"/>
        <w:kinsoku w:val="0"/>
        <w:overflowPunct w:val="0"/>
        <w:ind w:left="120" w:right="104"/>
      </w:pPr>
      <w:r w:rsidRPr="00FE3098">
        <w:t>The proposed action to clarify the requirement for Completion and Stocking Reports under 14 CCR § 1052 is part of the existing Forest Practice regulatory framework. This action does not alter operational activities, environmental standards, or mitigation measures associated with Emergency Notice timber operations. It serves only to reinforce the post-operation reporting required under existing statute and therefore does not introduce new or expanded environmental impacts.</w:t>
      </w:r>
      <w:r w:rsidR="00430FF4">
        <w:br w:type="textWrapping" w:clear="all"/>
      </w:r>
    </w:p>
    <w:p w14:paraId="7C6DFE7E" w14:textId="77777777" w:rsidR="00DA1DC1" w:rsidRDefault="00FE3098" w:rsidP="00FE3098">
      <w:pPr>
        <w:pStyle w:val="BodyText"/>
        <w:kinsoku w:val="0"/>
        <w:overflowPunct w:val="0"/>
        <w:ind w:left="120" w:right="104"/>
      </w:pPr>
      <w:r w:rsidRPr="00FE3098">
        <w:t>The proposed action does not change the level of environmental protection provided by current rules and does not meet the definition of a mitigation under CEQA. The Board concludes that the action will not result in any significant or potentially significant adverse environmental effects and, as such, no additional mitigation measures or alternatives are required under 14 CCR § 15252(a)(2)(B).</w:t>
      </w:r>
    </w:p>
    <w:sectPr w:rsidR="00DA1DC1">
      <w:pgSz w:w="12240" w:h="15840"/>
      <w:pgMar w:top="1360" w:right="1340" w:bottom="980" w:left="1320" w:header="0" w:footer="7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973F" w14:textId="77777777" w:rsidR="001B0538" w:rsidRDefault="001B0538">
      <w:r>
        <w:separator/>
      </w:r>
    </w:p>
  </w:endnote>
  <w:endnote w:type="continuationSeparator" w:id="0">
    <w:p w14:paraId="2BDED998" w14:textId="77777777" w:rsidR="001B0538" w:rsidRDefault="001B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66079"/>
      <w:docPartObj>
        <w:docPartGallery w:val="Page Numbers (Bottom of Page)"/>
        <w:docPartUnique/>
      </w:docPartObj>
    </w:sdtPr>
    <w:sdtEndPr/>
    <w:sdtContent>
      <w:sdt>
        <w:sdtPr>
          <w:id w:val="-1705238520"/>
          <w:docPartObj>
            <w:docPartGallery w:val="Page Numbers (Top of Page)"/>
            <w:docPartUnique/>
          </w:docPartObj>
        </w:sdtPr>
        <w:sdtEndPr/>
        <w:sdtContent>
          <w:p w14:paraId="615D94B6" w14:textId="00866BFB" w:rsidR="001D6003" w:rsidRDefault="001D600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t>FPC 3</w:t>
            </w:r>
          </w:p>
        </w:sdtContent>
      </w:sdt>
    </w:sdtContent>
  </w:sdt>
  <w:p w14:paraId="2384942B" w14:textId="24AECF90" w:rsidR="0039476B" w:rsidRDefault="0039476B">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A92B" w14:textId="77777777" w:rsidR="001B0538" w:rsidRDefault="001B0538">
      <w:r>
        <w:separator/>
      </w:r>
    </w:p>
  </w:footnote>
  <w:footnote w:type="continuationSeparator" w:id="0">
    <w:p w14:paraId="4097125A" w14:textId="77777777" w:rsidR="001B0538" w:rsidRDefault="001B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361"/>
      </w:pPr>
      <w:rPr>
        <w:rFonts w:ascii="Symbol" w:hAnsi="Symbol" w:cs="Symbol"/>
        <w:b w:val="0"/>
        <w:bCs w:val="0"/>
        <w:w w:val="100"/>
        <w:sz w:val="24"/>
        <w:szCs w:val="24"/>
      </w:rPr>
    </w:lvl>
    <w:lvl w:ilvl="1">
      <w:numFmt w:val="bullet"/>
      <w:lvlText w:val="•"/>
      <w:lvlJc w:val="left"/>
      <w:pPr>
        <w:ind w:left="1714" w:hanging="361"/>
      </w:pPr>
    </w:lvl>
    <w:lvl w:ilvl="2">
      <w:numFmt w:val="bullet"/>
      <w:lvlText w:val="•"/>
      <w:lvlJc w:val="left"/>
      <w:pPr>
        <w:ind w:left="2588" w:hanging="361"/>
      </w:pPr>
    </w:lvl>
    <w:lvl w:ilvl="3">
      <w:numFmt w:val="bullet"/>
      <w:lvlText w:val="•"/>
      <w:lvlJc w:val="left"/>
      <w:pPr>
        <w:ind w:left="3462" w:hanging="361"/>
      </w:pPr>
    </w:lvl>
    <w:lvl w:ilvl="4">
      <w:numFmt w:val="bullet"/>
      <w:lvlText w:val="•"/>
      <w:lvlJc w:val="left"/>
      <w:pPr>
        <w:ind w:left="4336" w:hanging="361"/>
      </w:pPr>
    </w:lvl>
    <w:lvl w:ilvl="5">
      <w:numFmt w:val="bullet"/>
      <w:lvlText w:val="•"/>
      <w:lvlJc w:val="left"/>
      <w:pPr>
        <w:ind w:left="5210" w:hanging="361"/>
      </w:pPr>
    </w:lvl>
    <w:lvl w:ilvl="6">
      <w:numFmt w:val="bullet"/>
      <w:lvlText w:val="•"/>
      <w:lvlJc w:val="left"/>
      <w:pPr>
        <w:ind w:left="6084" w:hanging="361"/>
      </w:pPr>
    </w:lvl>
    <w:lvl w:ilvl="7">
      <w:numFmt w:val="bullet"/>
      <w:lvlText w:val="•"/>
      <w:lvlJc w:val="left"/>
      <w:pPr>
        <w:ind w:left="6958" w:hanging="361"/>
      </w:pPr>
    </w:lvl>
    <w:lvl w:ilvl="8">
      <w:numFmt w:val="bullet"/>
      <w:lvlText w:val="•"/>
      <w:lvlJc w:val="left"/>
      <w:pPr>
        <w:ind w:left="7832" w:hanging="361"/>
      </w:pPr>
    </w:lvl>
  </w:abstractNum>
  <w:abstractNum w:abstractNumId="1" w15:restartNumberingAfterBreak="0">
    <w:nsid w:val="00000403"/>
    <w:multiLevelType w:val="multilevel"/>
    <w:tmpl w:val="FFFFFFFF"/>
    <w:lvl w:ilvl="0">
      <w:start w:val="1"/>
      <w:numFmt w:val="decimal"/>
      <w:lvlText w:val="%1."/>
      <w:lvlJc w:val="left"/>
      <w:pPr>
        <w:ind w:left="840" w:hanging="360"/>
      </w:pPr>
      <w:rPr>
        <w:rFonts w:ascii="Arial" w:hAnsi="Arial" w:cs="Arial"/>
        <w:b w:val="0"/>
        <w:bCs w:val="0"/>
        <w:spacing w:val="-1"/>
        <w:w w:val="10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num w:numId="1" w16cid:durableId="527566835">
    <w:abstractNumId w:val="1"/>
  </w:num>
  <w:num w:numId="2" w16cid:durableId="84254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D0"/>
    <w:rsid w:val="00131C19"/>
    <w:rsid w:val="00132592"/>
    <w:rsid w:val="0013381E"/>
    <w:rsid w:val="001B0538"/>
    <w:rsid w:val="001D6003"/>
    <w:rsid w:val="002329C8"/>
    <w:rsid w:val="002555E0"/>
    <w:rsid w:val="002629AC"/>
    <w:rsid w:val="0039476B"/>
    <w:rsid w:val="003F6190"/>
    <w:rsid w:val="00430FF4"/>
    <w:rsid w:val="00480FBD"/>
    <w:rsid w:val="004F4DC0"/>
    <w:rsid w:val="005A02E2"/>
    <w:rsid w:val="005B06A0"/>
    <w:rsid w:val="0061696B"/>
    <w:rsid w:val="006C65F6"/>
    <w:rsid w:val="006F0B49"/>
    <w:rsid w:val="007018F7"/>
    <w:rsid w:val="007214AA"/>
    <w:rsid w:val="00947E1E"/>
    <w:rsid w:val="00A562D0"/>
    <w:rsid w:val="00A97DA7"/>
    <w:rsid w:val="00AC7EC5"/>
    <w:rsid w:val="00B25258"/>
    <w:rsid w:val="00B32F2C"/>
    <w:rsid w:val="00B54B30"/>
    <w:rsid w:val="00B65494"/>
    <w:rsid w:val="00CB6C90"/>
    <w:rsid w:val="00CF4F28"/>
    <w:rsid w:val="00CF7F0E"/>
    <w:rsid w:val="00D67D85"/>
    <w:rsid w:val="00DA1DC1"/>
    <w:rsid w:val="00DF0819"/>
    <w:rsid w:val="00F76882"/>
    <w:rsid w:val="00FD376E"/>
    <w:rsid w:val="00FD651B"/>
    <w:rsid w:val="00FE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869239"/>
  <w14:defaultImageDpi w14:val="96"/>
  <w15:docId w15:val="{CB7EC215-7998-488A-8E1C-409683DB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rPr>
      <w:rFonts w:ascii="Arial" w:hAnsi="Arial" w:cs="Arial"/>
      <w:kern w:val="0"/>
      <w:sz w:val="22"/>
      <w:szCs w:val="22"/>
    </w:rPr>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paragraph" w:styleId="ListParagraph">
    <w:name w:val="List Paragraph"/>
    <w:basedOn w:val="Normal"/>
    <w:uiPriority w:val="1"/>
    <w:qFormat/>
    <w:pPr>
      <w:ind w:left="84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NormalWeb">
    <w:name w:val="Normal (Web)"/>
    <w:basedOn w:val="Normal"/>
    <w:uiPriority w:val="99"/>
    <w:semiHidden/>
    <w:unhideWhenUsed/>
    <w:rsid w:val="00D67D85"/>
    <w:rPr>
      <w:rFonts w:ascii="Times New Roman" w:hAnsi="Times New Roman" w:cs="Times New Roman"/>
      <w:sz w:val="24"/>
      <w:szCs w:val="24"/>
    </w:rPr>
  </w:style>
  <w:style w:type="character" w:styleId="Hyperlink">
    <w:name w:val="Hyperlink"/>
    <w:uiPriority w:val="99"/>
    <w:unhideWhenUsed/>
    <w:rsid w:val="00480FBD"/>
    <w:rPr>
      <w:color w:val="467886"/>
      <w:u w:val="single"/>
    </w:rPr>
  </w:style>
  <w:style w:type="character" w:styleId="UnresolvedMention">
    <w:name w:val="Unresolved Mention"/>
    <w:uiPriority w:val="99"/>
    <w:semiHidden/>
    <w:unhideWhenUsed/>
    <w:rsid w:val="00480FBD"/>
    <w:rPr>
      <w:color w:val="605E5C"/>
      <w:shd w:val="clear" w:color="auto" w:fill="E1DFDD"/>
    </w:rPr>
  </w:style>
  <w:style w:type="paragraph" w:styleId="Revision">
    <w:name w:val="Revision"/>
    <w:hidden/>
    <w:uiPriority w:val="99"/>
    <w:semiHidden/>
    <w:rsid w:val="00CF7F0E"/>
    <w:rPr>
      <w:rFonts w:ascii="Arial" w:hAnsi="Arial" w:cs="Arial"/>
      <w:sz w:val="22"/>
      <w:szCs w:val="22"/>
    </w:rPr>
  </w:style>
  <w:style w:type="character" w:styleId="CommentReference">
    <w:name w:val="annotation reference"/>
    <w:uiPriority w:val="99"/>
    <w:semiHidden/>
    <w:unhideWhenUsed/>
    <w:rsid w:val="00CF7F0E"/>
    <w:rPr>
      <w:sz w:val="16"/>
      <w:szCs w:val="16"/>
    </w:rPr>
  </w:style>
  <w:style w:type="paragraph" w:styleId="CommentText">
    <w:name w:val="annotation text"/>
    <w:basedOn w:val="Normal"/>
    <w:link w:val="CommentTextChar"/>
    <w:uiPriority w:val="99"/>
    <w:unhideWhenUsed/>
    <w:rsid w:val="00CF7F0E"/>
    <w:rPr>
      <w:sz w:val="20"/>
      <w:szCs w:val="20"/>
    </w:rPr>
  </w:style>
  <w:style w:type="character" w:customStyle="1" w:styleId="CommentTextChar">
    <w:name w:val="Comment Text Char"/>
    <w:link w:val="CommentText"/>
    <w:uiPriority w:val="99"/>
    <w:rsid w:val="00CF7F0E"/>
    <w:rPr>
      <w:rFonts w:ascii="Arial" w:hAnsi="Arial" w:cs="Arial"/>
    </w:rPr>
  </w:style>
  <w:style w:type="paragraph" w:styleId="CommentSubject">
    <w:name w:val="annotation subject"/>
    <w:basedOn w:val="CommentText"/>
    <w:next w:val="CommentText"/>
    <w:link w:val="CommentSubjectChar"/>
    <w:uiPriority w:val="99"/>
    <w:semiHidden/>
    <w:unhideWhenUsed/>
    <w:rsid w:val="00CF7F0E"/>
    <w:rPr>
      <w:b/>
      <w:bCs/>
    </w:rPr>
  </w:style>
  <w:style w:type="character" w:customStyle="1" w:styleId="CommentSubjectChar">
    <w:name w:val="Comment Subject Char"/>
    <w:link w:val="CommentSubject"/>
    <w:uiPriority w:val="99"/>
    <w:semiHidden/>
    <w:rsid w:val="00CF7F0E"/>
    <w:rPr>
      <w:rFonts w:ascii="Arial" w:hAnsi="Arial" w:cs="Arial"/>
      <w:b/>
      <w:bCs/>
    </w:rPr>
  </w:style>
  <w:style w:type="paragraph" w:styleId="Header">
    <w:name w:val="header"/>
    <w:basedOn w:val="Normal"/>
    <w:link w:val="HeaderChar"/>
    <w:uiPriority w:val="99"/>
    <w:unhideWhenUsed/>
    <w:rsid w:val="00F76882"/>
    <w:pPr>
      <w:tabs>
        <w:tab w:val="center" w:pos="4680"/>
        <w:tab w:val="right" w:pos="9360"/>
      </w:tabs>
    </w:pPr>
  </w:style>
  <w:style w:type="character" w:customStyle="1" w:styleId="HeaderChar">
    <w:name w:val="Header Char"/>
    <w:link w:val="Header"/>
    <w:uiPriority w:val="99"/>
    <w:rsid w:val="00F76882"/>
    <w:rPr>
      <w:rFonts w:ascii="Arial" w:hAnsi="Arial" w:cs="Arial"/>
      <w:sz w:val="22"/>
      <w:szCs w:val="22"/>
    </w:rPr>
  </w:style>
  <w:style w:type="paragraph" w:styleId="Footer">
    <w:name w:val="footer"/>
    <w:basedOn w:val="Normal"/>
    <w:link w:val="FooterChar"/>
    <w:uiPriority w:val="99"/>
    <w:unhideWhenUsed/>
    <w:rsid w:val="00F76882"/>
    <w:pPr>
      <w:tabs>
        <w:tab w:val="center" w:pos="4680"/>
        <w:tab w:val="right" w:pos="9360"/>
      </w:tabs>
    </w:pPr>
  </w:style>
  <w:style w:type="character" w:customStyle="1" w:styleId="FooterChar">
    <w:name w:val="Footer Char"/>
    <w:link w:val="Footer"/>
    <w:uiPriority w:val="99"/>
    <w:rsid w:val="00F7688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8200">
      <w:bodyDiv w:val="1"/>
      <w:marLeft w:val="0"/>
      <w:marRight w:val="0"/>
      <w:marTop w:val="0"/>
      <w:marBottom w:val="0"/>
      <w:divBdr>
        <w:top w:val="none" w:sz="0" w:space="0" w:color="auto"/>
        <w:left w:val="none" w:sz="0" w:space="0" w:color="auto"/>
        <w:bottom w:val="none" w:sz="0" w:space="0" w:color="auto"/>
        <w:right w:val="none" w:sz="0" w:space="0" w:color="auto"/>
      </w:divBdr>
    </w:div>
    <w:div w:id="299696642">
      <w:bodyDiv w:val="1"/>
      <w:marLeft w:val="0"/>
      <w:marRight w:val="0"/>
      <w:marTop w:val="0"/>
      <w:marBottom w:val="0"/>
      <w:divBdr>
        <w:top w:val="none" w:sz="0" w:space="0" w:color="auto"/>
        <w:left w:val="none" w:sz="0" w:space="0" w:color="auto"/>
        <w:bottom w:val="none" w:sz="0" w:space="0" w:color="auto"/>
        <w:right w:val="none" w:sz="0" w:space="0" w:color="auto"/>
      </w:divBdr>
    </w:div>
    <w:div w:id="315383824">
      <w:bodyDiv w:val="1"/>
      <w:marLeft w:val="0"/>
      <w:marRight w:val="0"/>
      <w:marTop w:val="0"/>
      <w:marBottom w:val="0"/>
      <w:divBdr>
        <w:top w:val="none" w:sz="0" w:space="0" w:color="auto"/>
        <w:left w:val="none" w:sz="0" w:space="0" w:color="auto"/>
        <w:bottom w:val="none" w:sz="0" w:space="0" w:color="auto"/>
        <w:right w:val="none" w:sz="0" w:space="0" w:color="auto"/>
      </w:divBdr>
    </w:div>
    <w:div w:id="686098720">
      <w:bodyDiv w:val="1"/>
      <w:marLeft w:val="0"/>
      <w:marRight w:val="0"/>
      <w:marTop w:val="0"/>
      <w:marBottom w:val="0"/>
      <w:divBdr>
        <w:top w:val="none" w:sz="0" w:space="0" w:color="auto"/>
        <w:left w:val="none" w:sz="0" w:space="0" w:color="auto"/>
        <w:bottom w:val="none" w:sz="0" w:space="0" w:color="auto"/>
        <w:right w:val="none" w:sz="0" w:space="0" w:color="auto"/>
      </w:divBdr>
    </w:div>
    <w:div w:id="693581316">
      <w:bodyDiv w:val="1"/>
      <w:marLeft w:val="0"/>
      <w:marRight w:val="0"/>
      <w:marTop w:val="0"/>
      <w:marBottom w:val="0"/>
      <w:divBdr>
        <w:top w:val="none" w:sz="0" w:space="0" w:color="auto"/>
        <w:left w:val="none" w:sz="0" w:space="0" w:color="auto"/>
        <w:bottom w:val="none" w:sz="0" w:space="0" w:color="auto"/>
        <w:right w:val="none" w:sz="0" w:space="0" w:color="auto"/>
      </w:divBdr>
    </w:div>
    <w:div w:id="809597306">
      <w:bodyDiv w:val="1"/>
      <w:marLeft w:val="0"/>
      <w:marRight w:val="0"/>
      <w:marTop w:val="0"/>
      <w:marBottom w:val="0"/>
      <w:divBdr>
        <w:top w:val="none" w:sz="0" w:space="0" w:color="auto"/>
        <w:left w:val="none" w:sz="0" w:space="0" w:color="auto"/>
        <w:bottom w:val="none" w:sz="0" w:space="0" w:color="auto"/>
        <w:right w:val="none" w:sz="0" w:space="0" w:color="auto"/>
      </w:divBdr>
    </w:div>
    <w:div w:id="983851769">
      <w:bodyDiv w:val="1"/>
      <w:marLeft w:val="0"/>
      <w:marRight w:val="0"/>
      <w:marTop w:val="0"/>
      <w:marBottom w:val="0"/>
      <w:divBdr>
        <w:top w:val="none" w:sz="0" w:space="0" w:color="auto"/>
        <w:left w:val="none" w:sz="0" w:space="0" w:color="auto"/>
        <w:bottom w:val="none" w:sz="0" w:space="0" w:color="auto"/>
        <w:right w:val="none" w:sz="0" w:space="0" w:color="auto"/>
      </w:divBdr>
    </w:div>
    <w:div w:id="1152521832">
      <w:bodyDiv w:val="1"/>
      <w:marLeft w:val="0"/>
      <w:marRight w:val="0"/>
      <w:marTop w:val="0"/>
      <w:marBottom w:val="0"/>
      <w:divBdr>
        <w:top w:val="none" w:sz="0" w:space="0" w:color="auto"/>
        <w:left w:val="none" w:sz="0" w:space="0" w:color="auto"/>
        <w:bottom w:val="none" w:sz="0" w:space="0" w:color="auto"/>
        <w:right w:val="none" w:sz="0" w:space="0" w:color="auto"/>
      </w:divBdr>
      <w:divsChild>
        <w:div w:id="1316371562">
          <w:marLeft w:val="0"/>
          <w:marRight w:val="0"/>
          <w:marTop w:val="0"/>
          <w:marBottom w:val="0"/>
          <w:divBdr>
            <w:top w:val="none" w:sz="0" w:space="0" w:color="auto"/>
            <w:left w:val="none" w:sz="0" w:space="0" w:color="auto"/>
            <w:bottom w:val="none" w:sz="0" w:space="0" w:color="auto"/>
            <w:right w:val="none" w:sz="0" w:space="0" w:color="auto"/>
          </w:divBdr>
          <w:divsChild>
            <w:div w:id="1306933277">
              <w:marLeft w:val="0"/>
              <w:marRight w:val="0"/>
              <w:marTop w:val="0"/>
              <w:marBottom w:val="0"/>
              <w:divBdr>
                <w:top w:val="none" w:sz="0" w:space="0" w:color="auto"/>
                <w:left w:val="none" w:sz="0" w:space="0" w:color="auto"/>
                <w:bottom w:val="none" w:sz="0" w:space="0" w:color="auto"/>
                <w:right w:val="none" w:sz="0" w:space="0" w:color="auto"/>
              </w:divBdr>
              <w:divsChild>
                <w:div w:id="364674936">
                  <w:marLeft w:val="0"/>
                  <w:marRight w:val="0"/>
                  <w:marTop w:val="0"/>
                  <w:marBottom w:val="0"/>
                  <w:divBdr>
                    <w:top w:val="none" w:sz="0" w:space="0" w:color="auto"/>
                    <w:left w:val="none" w:sz="0" w:space="0" w:color="auto"/>
                    <w:bottom w:val="none" w:sz="0" w:space="0" w:color="auto"/>
                    <w:right w:val="none" w:sz="0" w:space="0" w:color="auto"/>
                  </w:divBdr>
                  <w:divsChild>
                    <w:div w:id="1168902882">
                      <w:marLeft w:val="0"/>
                      <w:marRight w:val="0"/>
                      <w:marTop w:val="0"/>
                      <w:marBottom w:val="0"/>
                      <w:divBdr>
                        <w:top w:val="none" w:sz="0" w:space="0" w:color="auto"/>
                        <w:left w:val="none" w:sz="0" w:space="0" w:color="auto"/>
                        <w:bottom w:val="none" w:sz="0" w:space="0" w:color="auto"/>
                        <w:right w:val="none" w:sz="0" w:space="0" w:color="auto"/>
                      </w:divBdr>
                      <w:divsChild>
                        <w:div w:id="7609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773286">
      <w:bodyDiv w:val="1"/>
      <w:marLeft w:val="0"/>
      <w:marRight w:val="0"/>
      <w:marTop w:val="0"/>
      <w:marBottom w:val="0"/>
      <w:divBdr>
        <w:top w:val="none" w:sz="0" w:space="0" w:color="auto"/>
        <w:left w:val="none" w:sz="0" w:space="0" w:color="auto"/>
        <w:bottom w:val="none" w:sz="0" w:space="0" w:color="auto"/>
        <w:right w:val="none" w:sz="0" w:space="0" w:color="auto"/>
      </w:divBdr>
    </w:div>
    <w:div w:id="1416517828">
      <w:bodyDiv w:val="1"/>
      <w:marLeft w:val="0"/>
      <w:marRight w:val="0"/>
      <w:marTop w:val="0"/>
      <w:marBottom w:val="0"/>
      <w:divBdr>
        <w:top w:val="none" w:sz="0" w:space="0" w:color="auto"/>
        <w:left w:val="none" w:sz="0" w:space="0" w:color="auto"/>
        <w:bottom w:val="none" w:sz="0" w:space="0" w:color="auto"/>
        <w:right w:val="none" w:sz="0" w:space="0" w:color="auto"/>
      </w:divBdr>
    </w:div>
    <w:div w:id="1745952881">
      <w:bodyDiv w:val="1"/>
      <w:marLeft w:val="0"/>
      <w:marRight w:val="0"/>
      <w:marTop w:val="0"/>
      <w:marBottom w:val="0"/>
      <w:divBdr>
        <w:top w:val="none" w:sz="0" w:space="0" w:color="auto"/>
        <w:left w:val="none" w:sz="0" w:space="0" w:color="auto"/>
        <w:bottom w:val="none" w:sz="0" w:space="0" w:color="auto"/>
        <w:right w:val="none" w:sz="0" w:space="0" w:color="auto"/>
      </w:divBdr>
    </w:div>
    <w:div w:id="1828594497">
      <w:bodyDiv w:val="1"/>
      <w:marLeft w:val="0"/>
      <w:marRight w:val="0"/>
      <w:marTop w:val="0"/>
      <w:marBottom w:val="0"/>
      <w:divBdr>
        <w:top w:val="none" w:sz="0" w:space="0" w:color="auto"/>
        <w:left w:val="none" w:sz="0" w:space="0" w:color="auto"/>
        <w:bottom w:val="none" w:sz="0" w:space="0" w:color="auto"/>
        <w:right w:val="none" w:sz="0" w:space="0" w:color="auto"/>
      </w:divBdr>
    </w:div>
    <w:div w:id="1941915462">
      <w:bodyDiv w:val="1"/>
      <w:marLeft w:val="0"/>
      <w:marRight w:val="0"/>
      <w:marTop w:val="0"/>
      <w:marBottom w:val="0"/>
      <w:divBdr>
        <w:top w:val="none" w:sz="0" w:space="0" w:color="auto"/>
        <w:left w:val="none" w:sz="0" w:space="0" w:color="auto"/>
        <w:bottom w:val="none" w:sz="0" w:space="0" w:color="auto"/>
        <w:right w:val="none" w:sz="0" w:space="0" w:color="auto"/>
      </w:divBdr>
    </w:div>
    <w:div w:id="1990937169">
      <w:bodyDiv w:val="1"/>
      <w:marLeft w:val="0"/>
      <w:marRight w:val="0"/>
      <w:marTop w:val="0"/>
      <w:marBottom w:val="0"/>
      <w:divBdr>
        <w:top w:val="none" w:sz="0" w:space="0" w:color="auto"/>
        <w:left w:val="none" w:sz="0" w:space="0" w:color="auto"/>
        <w:bottom w:val="none" w:sz="0" w:space="0" w:color="auto"/>
        <w:right w:val="none" w:sz="0" w:space="0" w:color="auto"/>
      </w:divBdr>
    </w:div>
    <w:div w:id="2088189899">
      <w:bodyDiv w:val="1"/>
      <w:marLeft w:val="0"/>
      <w:marRight w:val="0"/>
      <w:marTop w:val="0"/>
      <w:marBottom w:val="0"/>
      <w:divBdr>
        <w:top w:val="none" w:sz="0" w:space="0" w:color="auto"/>
        <w:left w:val="none" w:sz="0" w:space="0" w:color="auto"/>
        <w:bottom w:val="none" w:sz="0" w:space="0" w:color="auto"/>
        <w:right w:val="none" w:sz="0" w:space="0" w:color="auto"/>
      </w:divBdr>
    </w:div>
    <w:div w:id="2138208983">
      <w:bodyDiv w:val="1"/>
      <w:marLeft w:val="0"/>
      <w:marRight w:val="0"/>
      <w:marTop w:val="0"/>
      <w:marBottom w:val="0"/>
      <w:divBdr>
        <w:top w:val="none" w:sz="0" w:space="0" w:color="auto"/>
        <w:left w:val="none" w:sz="0" w:space="0" w:color="auto"/>
        <w:bottom w:val="none" w:sz="0" w:space="0" w:color="auto"/>
        <w:right w:val="none" w:sz="0" w:space="0" w:color="auto"/>
      </w:divBdr>
      <w:divsChild>
        <w:div w:id="1927765142">
          <w:marLeft w:val="0"/>
          <w:marRight w:val="0"/>
          <w:marTop w:val="0"/>
          <w:marBottom w:val="0"/>
          <w:divBdr>
            <w:top w:val="none" w:sz="0" w:space="0" w:color="auto"/>
            <w:left w:val="none" w:sz="0" w:space="0" w:color="auto"/>
            <w:bottom w:val="none" w:sz="0" w:space="0" w:color="auto"/>
            <w:right w:val="none" w:sz="0" w:space="0" w:color="auto"/>
          </w:divBdr>
          <w:divsChild>
            <w:div w:id="1769236437">
              <w:marLeft w:val="0"/>
              <w:marRight w:val="0"/>
              <w:marTop w:val="0"/>
              <w:marBottom w:val="0"/>
              <w:divBdr>
                <w:top w:val="none" w:sz="0" w:space="0" w:color="auto"/>
                <w:left w:val="none" w:sz="0" w:space="0" w:color="auto"/>
                <w:bottom w:val="none" w:sz="0" w:space="0" w:color="auto"/>
                <w:right w:val="none" w:sz="0" w:space="0" w:color="auto"/>
              </w:divBdr>
              <w:divsChild>
                <w:div w:id="1181432839">
                  <w:marLeft w:val="0"/>
                  <w:marRight w:val="0"/>
                  <w:marTop w:val="0"/>
                  <w:marBottom w:val="0"/>
                  <w:divBdr>
                    <w:top w:val="none" w:sz="0" w:space="0" w:color="auto"/>
                    <w:left w:val="none" w:sz="0" w:space="0" w:color="auto"/>
                    <w:bottom w:val="none" w:sz="0" w:space="0" w:color="auto"/>
                    <w:right w:val="none" w:sz="0" w:space="0" w:color="auto"/>
                  </w:divBdr>
                  <w:divsChild>
                    <w:div w:id="634599039">
                      <w:marLeft w:val="0"/>
                      <w:marRight w:val="0"/>
                      <w:marTop w:val="0"/>
                      <w:marBottom w:val="0"/>
                      <w:divBdr>
                        <w:top w:val="none" w:sz="0" w:space="0" w:color="auto"/>
                        <w:left w:val="none" w:sz="0" w:space="0" w:color="auto"/>
                        <w:bottom w:val="none" w:sz="0" w:space="0" w:color="auto"/>
                        <w:right w:val="none" w:sz="0" w:space="0" w:color="auto"/>
                      </w:divBdr>
                      <w:divsChild>
                        <w:div w:id="17655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7</Pages>
  <Words>2813</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Draft ISOR.docx</vt:lpstr>
    </vt:vector>
  </TitlesOfParts>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ISOR.docx</dc:title>
  <dc:subject/>
  <dc:creator>JVanSus</dc:creator>
  <cp:keywords/>
  <dc:description/>
  <cp:lastModifiedBy>VanSusteren, Jane@BOF</cp:lastModifiedBy>
  <cp:revision>2</cp:revision>
  <dcterms:created xsi:type="dcterms:W3CDTF">2025-08-13T00:47:00Z</dcterms:created>
  <dcterms:modified xsi:type="dcterms:W3CDTF">2026-06-02T23:04:00Z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