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CECA" w14:textId="77777777" w:rsidR="00375BDC" w:rsidRDefault="00375BDC" w:rsidP="00375BDC">
      <w:pPr>
        <w:spacing w:line="240" w:lineRule="auto"/>
        <w:jc w:val="center"/>
        <w:rPr>
          <w:rFonts w:ascii="Arial" w:hAnsi="Arial" w:cs="Arial"/>
          <w:b/>
        </w:rPr>
      </w:pPr>
      <w:bookmarkStart w:id="0" w:name="_Hlk38553011"/>
      <w:bookmarkStart w:id="1" w:name="_Hlk38552992"/>
      <w:r w:rsidRPr="00002A1A">
        <w:rPr>
          <w:rFonts w:ascii="Arial" w:hAnsi="Arial" w:cs="Arial"/>
          <w:b/>
        </w:rPr>
        <w:t>Board of Forestry and Fire Protection</w:t>
      </w:r>
    </w:p>
    <w:p w14:paraId="0F919530" w14:textId="0948B3E2" w:rsidR="00AA3E0B" w:rsidRPr="00002A1A" w:rsidRDefault="00AA3E0B" w:rsidP="00375BDC">
      <w:pPr>
        <w:spacing w:line="240" w:lineRule="auto"/>
        <w:jc w:val="center"/>
        <w:rPr>
          <w:rFonts w:ascii="Arial" w:hAnsi="Arial" w:cs="Arial"/>
          <w:b/>
        </w:rPr>
      </w:pPr>
      <w:r>
        <w:rPr>
          <w:rFonts w:ascii="Arial" w:hAnsi="Arial" w:cs="Arial"/>
          <w:b/>
        </w:rPr>
        <w:t>Forest Legacy Program</w:t>
      </w:r>
    </w:p>
    <w:p w14:paraId="7ED788F1" w14:textId="77777777" w:rsidR="00375BDC" w:rsidRPr="00002A1A" w:rsidRDefault="00375BDC" w:rsidP="00375BDC">
      <w:pPr>
        <w:spacing w:line="240" w:lineRule="auto"/>
        <w:jc w:val="center"/>
        <w:rPr>
          <w:rFonts w:ascii="Arial" w:hAnsi="Arial" w:cs="Arial"/>
          <w:b/>
        </w:rPr>
      </w:pPr>
      <w:r w:rsidRPr="00002A1A">
        <w:rPr>
          <w:rFonts w:ascii="Arial" w:hAnsi="Arial" w:cs="Arial"/>
          <w:b/>
        </w:rPr>
        <w:t>Title 14 of the California Code of Regulations</w:t>
      </w:r>
    </w:p>
    <w:p w14:paraId="2DAD865B" w14:textId="25C84716" w:rsidR="00375BDC" w:rsidRPr="00002A1A" w:rsidRDefault="00375BDC" w:rsidP="00375BDC">
      <w:pPr>
        <w:spacing w:line="240" w:lineRule="auto"/>
        <w:jc w:val="center"/>
        <w:rPr>
          <w:rFonts w:ascii="Arial" w:hAnsi="Arial" w:cs="Arial"/>
          <w:b/>
        </w:rPr>
      </w:pPr>
      <w:r w:rsidRPr="00002A1A">
        <w:rPr>
          <w:rFonts w:ascii="Arial" w:hAnsi="Arial" w:cs="Arial"/>
          <w:b/>
        </w:rPr>
        <w:t xml:space="preserve">Division 1.5, Chapter </w:t>
      </w:r>
      <w:r>
        <w:rPr>
          <w:rFonts w:ascii="Arial" w:hAnsi="Arial" w:cs="Arial"/>
          <w:b/>
        </w:rPr>
        <w:t>9.9</w:t>
      </w:r>
    </w:p>
    <w:bookmarkEnd w:id="0"/>
    <w:bookmarkEnd w:id="1"/>
    <w:p w14:paraId="7D7E4F64" w14:textId="23903933" w:rsidR="003917C0" w:rsidRDefault="003917C0">
      <w:pPr>
        <w:rPr>
          <w:rFonts w:ascii="Arial" w:hAnsi="Arial" w:cs="Arial"/>
          <w:b/>
        </w:rPr>
      </w:pPr>
      <w:r>
        <w:rPr>
          <w:rFonts w:ascii="Arial" w:hAnsi="Arial" w:cs="Arial"/>
          <w:b/>
        </w:rPr>
        <w:t>***</w:t>
      </w:r>
    </w:p>
    <w:p w14:paraId="115D8E96" w14:textId="61074219" w:rsidR="00F23108" w:rsidRPr="00563D8E" w:rsidRDefault="00375BDC">
      <w:pPr>
        <w:rPr>
          <w:b/>
          <w:bCs/>
        </w:rPr>
      </w:pPr>
      <w:r>
        <w:rPr>
          <w:b/>
          <w:bCs/>
        </w:rPr>
        <w:t xml:space="preserve">§ </w:t>
      </w:r>
      <w:r w:rsidR="00F70E89" w:rsidRPr="00563D8E">
        <w:rPr>
          <w:b/>
          <w:bCs/>
        </w:rPr>
        <w:t>1571. Definitions</w:t>
      </w:r>
      <w:r w:rsidR="005D4723">
        <w:rPr>
          <w:b/>
          <w:bCs/>
        </w:rPr>
        <w:t>.</w:t>
      </w:r>
    </w:p>
    <w:p w14:paraId="28BD0783" w14:textId="77777777" w:rsidR="00375BDC" w:rsidRPr="00375BDC" w:rsidRDefault="00375BDC" w:rsidP="00375BDC">
      <w:r w:rsidRPr="00375BDC">
        <w:t>Unless the context otherwise requires, the definitions in this article govern the construction of this chapter.</w:t>
      </w:r>
    </w:p>
    <w:p w14:paraId="0A4BCC73" w14:textId="1630347E" w:rsidR="00375BDC" w:rsidRPr="00375BDC" w:rsidRDefault="00864972" w:rsidP="00375BDC">
      <w:r>
        <w:t>***</w:t>
      </w:r>
    </w:p>
    <w:p w14:paraId="18EF0975" w14:textId="25A01252" w:rsidR="00375BDC" w:rsidRPr="00375BDC" w:rsidRDefault="00375BDC" w:rsidP="00375BDC">
      <w:pPr>
        <w:rPr>
          <w:b/>
          <w:bCs/>
        </w:rPr>
      </w:pPr>
      <w:r w:rsidRPr="00375BDC">
        <w:t>“Assessment of Need (AON)” refers to the California Forest Legacy Program Assessment of Need submitted to the USFS in</w:t>
      </w:r>
      <w:r w:rsidR="005D4723">
        <w:t xml:space="preserve"> </w:t>
      </w:r>
      <w:r w:rsidRPr="005D4723">
        <w:t>August</w:t>
      </w:r>
      <w:r w:rsidRPr="006D4B42">
        <w:rPr>
          <w:strike/>
        </w:rPr>
        <w:t>,</w:t>
      </w:r>
      <w:r w:rsidRPr="005D4723">
        <w:t xml:space="preserve"> 1995, </w:t>
      </w:r>
      <w:r w:rsidRPr="00864972">
        <w:rPr>
          <w:strike/>
        </w:rPr>
        <w:t>and</w:t>
      </w:r>
      <w:r w:rsidRPr="005D4723">
        <w:t xml:space="preserve"> amended in September</w:t>
      </w:r>
      <w:r w:rsidRPr="006D4B42">
        <w:rPr>
          <w:strike/>
        </w:rPr>
        <w:t>,</w:t>
      </w:r>
      <w:r w:rsidRPr="005D4723">
        <w:t xml:space="preserve"> 2000</w:t>
      </w:r>
      <w:r w:rsidR="000C1438" w:rsidRPr="00864972">
        <w:rPr>
          <w:u w:val="single"/>
        </w:rPr>
        <w:t>, and updated in 2020</w:t>
      </w:r>
      <w:r w:rsidRPr="005D4723">
        <w:t>.</w:t>
      </w:r>
    </w:p>
    <w:p w14:paraId="365CA946" w14:textId="77777777" w:rsidR="00947116" w:rsidRDefault="00947116">
      <w:r>
        <w:t>***</w:t>
      </w:r>
    </w:p>
    <w:p w14:paraId="244E5549" w14:textId="26DCDF6F" w:rsidR="00947116" w:rsidRDefault="00947116">
      <w:pPr>
        <w:rPr>
          <w:u w:val="single"/>
        </w:rPr>
      </w:pPr>
      <w:r w:rsidRPr="00947116">
        <w:rPr>
          <w:u w:val="single"/>
        </w:rPr>
        <w:t xml:space="preserve">“Ecosystem </w:t>
      </w:r>
      <w:r w:rsidR="006D4B42">
        <w:rPr>
          <w:u w:val="single"/>
        </w:rPr>
        <w:t>S</w:t>
      </w:r>
      <w:r w:rsidRPr="00947116">
        <w:rPr>
          <w:u w:val="single"/>
        </w:rPr>
        <w:t xml:space="preserve">ervice </w:t>
      </w:r>
      <w:r w:rsidR="006D4B42">
        <w:rPr>
          <w:u w:val="single"/>
        </w:rPr>
        <w:t>M</w:t>
      </w:r>
      <w:r w:rsidRPr="00947116">
        <w:rPr>
          <w:u w:val="single"/>
        </w:rPr>
        <w:t>arket” means a system in which providers of ecosystem services can access financing or market capital to protect, restore, and maintain ecological values.</w:t>
      </w:r>
    </w:p>
    <w:p w14:paraId="48C352C7" w14:textId="627D30DE" w:rsidR="00947116" w:rsidRPr="00947116" w:rsidRDefault="00947116">
      <w:r w:rsidRPr="00947116">
        <w:t>***</w:t>
      </w:r>
    </w:p>
    <w:p w14:paraId="2D43E592" w14:textId="24365D7C" w:rsidR="005D4723" w:rsidRPr="00375BDC" w:rsidRDefault="005D4723">
      <w:r w:rsidRPr="005D4723">
        <w:t>Note: Authority cited: Section 12249, Public Resources Code. Reference: Sections 700, 730, 4799 and 12200-12292, Public Resources Code; Section 1320, Fish and Game Code; 16 U.S.C. Section 2103 et seq.; and 14 CCR Sections 913.11, 933.11 and 953.11.</w:t>
      </w:r>
    </w:p>
    <w:p w14:paraId="52F4379A" w14:textId="0F2533F6" w:rsidR="0037711F" w:rsidRPr="0037711F" w:rsidRDefault="003917C0" w:rsidP="0037711F">
      <w:r>
        <w:rPr>
          <w:b/>
          <w:bCs/>
        </w:rPr>
        <w:t>***</w:t>
      </w:r>
    </w:p>
    <w:p w14:paraId="70D52FA2" w14:textId="33C350E3" w:rsidR="00092643" w:rsidRPr="00563D8E" w:rsidRDefault="0037711F">
      <w:pPr>
        <w:rPr>
          <w:b/>
          <w:bCs/>
        </w:rPr>
      </w:pPr>
      <w:r>
        <w:rPr>
          <w:b/>
          <w:bCs/>
        </w:rPr>
        <w:t xml:space="preserve">§ </w:t>
      </w:r>
      <w:r w:rsidR="00092643" w:rsidRPr="00563D8E">
        <w:rPr>
          <w:b/>
          <w:bCs/>
        </w:rPr>
        <w:t>1573. Applications and Content.</w:t>
      </w:r>
    </w:p>
    <w:p w14:paraId="23856CB2" w14:textId="171B9221" w:rsidR="00092643" w:rsidRDefault="00092643">
      <w:r w:rsidRPr="00092643">
        <w:t>Every application shall provide sufficient information to enable the Director to verify the parcel's eligibility for the Program and to understand the conservation objectives and the parcel's environmental value or potential to protect forest and aquatic resources. Landowners proposing parcels to be considered for inclusion in the Program shall be required to submit an application, provided by the Director</w:t>
      </w:r>
      <w:r w:rsidRPr="00864972">
        <w:rPr>
          <w:strike/>
        </w:rPr>
        <w:t>, titled “California's Forest Legacy Application” (rev. March 2005), found at http://www.fire.ca.gov/resource_mgt/downloads/2005-06LegacyApplicationForm.pdf, and herein incorporated by reference</w:t>
      </w:r>
      <w:r w:rsidRPr="00092643">
        <w:t>, that includes, but is not necessarily limited to, the following information</w:t>
      </w:r>
      <w:r w:rsidR="00916090">
        <w:t>:</w:t>
      </w:r>
    </w:p>
    <w:p w14:paraId="751638C9" w14:textId="77777777" w:rsidR="00916090" w:rsidRDefault="00916090" w:rsidP="00916090">
      <w:r>
        <w:t>(a) name and address of landowner;</w:t>
      </w:r>
    </w:p>
    <w:p w14:paraId="708D7233" w14:textId="77777777" w:rsidR="00916090" w:rsidRDefault="00916090" w:rsidP="00916090">
      <w:r>
        <w:lastRenderedPageBreak/>
        <w:t>(b) location, zoning, acreage, and uses of the property;</w:t>
      </w:r>
    </w:p>
    <w:p w14:paraId="7D63000A" w14:textId="77777777" w:rsidR="00916090" w:rsidRDefault="00916090" w:rsidP="00916090">
      <w:r>
        <w:t>(c) how title is to be conveyed;</w:t>
      </w:r>
    </w:p>
    <w:p w14:paraId="5A058707" w14:textId="77777777" w:rsidR="00916090" w:rsidRDefault="00916090" w:rsidP="00916090">
      <w:r>
        <w:t>(d) landowner goals and objectives;</w:t>
      </w:r>
    </w:p>
    <w:p w14:paraId="2119FA13" w14:textId="77777777" w:rsidR="00916090" w:rsidRDefault="00916090" w:rsidP="00916090">
      <w:r>
        <w:t>(e) an evaluation of the values of the parcel as they pertain to riparian and hydrological areas, vegetation type, recreational opportunities, scenic and cultural resources, forest productivity, fish and wildlife habitat, threatened and endangered species, ecological community and connectivity, conversion threats, acquirability, and manageability;</w:t>
      </w:r>
    </w:p>
    <w:p w14:paraId="7C9B7F45" w14:textId="77777777" w:rsidR="00916090" w:rsidRDefault="00916090" w:rsidP="00916090">
      <w:r>
        <w:t>(f) financial information regarding estimated value of the property, estimated value of the interest to be conveyed to the Program, additional funding sources, liens and encumbrances;</w:t>
      </w:r>
    </w:p>
    <w:p w14:paraId="746E6822" w14:textId="77777777" w:rsidR="00916090" w:rsidRDefault="00916090" w:rsidP="00916090">
      <w:r>
        <w:t>(g) preliminary information on what rights are to be retained or conveyed within the conservation easement; and</w:t>
      </w:r>
    </w:p>
    <w:p w14:paraId="48D115FD" w14:textId="4A9DDA1C" w:rsidR="00916090" w:rsidRDefault="00916090" w:rsidP="00916090">
      <w:r>
        <w:t>(h) the signature of the landowner or legal agent allowing Department personnel or their agents access to the property, at a mutually agreeable time, for purposes of verifying eligibility and/or determining ranking.</w:t>
      </w:r>
    </w:p>
    <w:p w14:paraId="3EDFFFA4" w14:textId="16FBD229" w:rsidR="00916090" w:rsidRDefault="00916090" w:rsidP="00916090">
      <w:r w:rsidRPr="00916090">
        <w:t>Note: Authority cited: Section 12249, Public Resources Code. Reference: Section 12250, Public Resources Code.</w:t>
      </w:r>
    </w:p>
    <w:p w14:paraId="11C48320" w14:textId="62A8860D" w:rsidR="00916090" w:rsidRPr="00916090" w:rsidRDefault="00916090" w:rsidP="00916090">
      <w:pPr>
        <w:rPr>
          <w:b/>
          <w:bCs/>
        </w:rPr>
      </w:pPr>
      <w:r w:rsidRPr="00916090">
        <w:rPr>
          <w:b/>
          <w:bCs/>
        </w:rPr>
        <w:t>§ 1574. Conservation Easement Terms and Conditions.</w:t>
      </w:r>
    </w:p>
    <w:p w14:paraId="50A359F5" w14:textId="77777777" w:rsidR="00916090" w:rsidRDefault="00916090" w:rsidP="00916090">
      <w:r>
        <w:t>(a) Recreation projects that perpetually prohibit timber harvest and or grazing are limited to not more than 15% of the timberland and not more than 15% of the grazing land respectively.</w:t>
      </w:r>
    </w:p>
    <w:p w14:paraId="25BEF654" w14:textId="77777777" w:rsidR="00916090" w:rsidRDefault="00916090" w:rsidP="00916090">
      <w:r>
        <w:t>(b) Perpetual protections that prohibit timber harvesting are limited to not more than 15% of the property.</w:t>
      </w:r>
    </w:p>
    <w:p w14:paraId="29FCC4B1" w14:textId="77777777" w:rsidR="00916090" w:rsidRDefault="00916090" w:rsidP="00916090">
      <w:r>
        <w:t>(c) Perpetual forest management prescriptions on all of the timberland on the property, except that timberland preserved pursuant to (a) or (b) above, will provide for the long term optimization of MSP.</w:t>
      </w:r>
    </w:p>
    <w:p w14:paraId="61127B69" w14:textId="77777777" w:rsidR="00916090" w:rsidRDefault="00916090" w:rsidP="00916090">
      <w:r>
        <w:t>(d) Perpetual forest management prescriptions that provide for the long term optimization of MSP shall also contribute to the long term protection and rehabilitation of watershed function, hydrologic stability and wildlife habitat.</w:t>
      </w:r>
    </w:p>
    <w:p w14:paraId="1D15656E" w14:textId="77777777" w:rsidR="00916090" w:rsidRDefault="00916090" w:rsidP="00916090">
      <w:r>
        <w:t>(e) Perpetual protections shall include the prohibition of the building of structures and roads in any capacity other than for the potential purposes of:</w:t>
      </w:r>
    </w:p>
    <w:p w14:paraId="58E0F138" w14:textId="77777777" w:rsidR="00916090" w:rsidRDefault="00916090" w:rsidP="00916090">
      <w:r>
        <w:lastRenderedPageBreak/>
        <w:t>(1) Owner and on-property management &amp; labor housing.</w:t>
      </w:r>
    </w:p>
    <w:p w14:paraId="4892DD64" w14:textId="77777777" w:rsidR="00916090" w:rsidRDefault="00916090" w:rsidP="00916090">
      <w:r>
        <w:t>(2) Open-space based commercial recreation.</w:t>
      </w:r>
    </w:p>
    <w:p w14:paraId="45441C52" w14:textId="77777777" w:rsidR="00916090" w:rsidRDefault="00916090" w:rsidP="00916090">
      <w:r>
        <w:t>(3) Production, processing or value added manufacturing of forest or rangeland derived products produced on the property.</w:t>
      </w:r>
    </w:p>
    <w:p w14:paraId="60FF4B35" w14:textId="77777777" w:rsidR="00916090" w:rsidRDefault="00916090" w:rsidP="00916090">
      <w:r>
        <w:t>(4) The generation or capture of energy from wind, solar, or hydroelectric.</w:t>
      </w:r>
    </w:p>
    <w:p w14:paraId="3CF50CCA" w14:textId="77777777" w:rsidR="00916090" w:rsidRDefault="00916090" w:rsidP="00916090">
      <w:r>
        <w:t>(5) Placement of cell phone towers.</w:t>
      </w:r>
    </w:p>
    <w:p w14:paraId="1FF887BD" w14:textId="77777777" w:rsidR="00916090" w:rsidRDefault="00916090" w:rsidP="00916090">
      <w:r>
        <w:t>(6) The Director may place restrictions, such as to size and location, for any or all of the purposes described in (1) through (5) above and may require the grantor to seek grantee's prior written approval. When such written approval is required, grantee shall consider the cumulative impact of all structures and improvements, and shall not approve such structures or improvements that cumulatively violate the conservation purpose or materially impair the conservation values.</w:t>
      </w:r>
    </w:p>
    <w:p w14:paraId="1C7C15C9" w14:textId="77777777" w:rsidR="00916090" w:rsidRDefault="00916090" w:rsidP="00916090">
      <w:r>
        <w:t>(f) Perpetual protections shall include the prohibition of the severance of property rights on the property in any capacity other than for the potential purposes of:</w:t>
      </w:r>
    </w:p>
    <w:p w14:paraId="5F5C755E" w14:textId="77777777" w:rsidR="00916090" w:rsidRDefault="00916090" w:rsidP="00916090">
      <w:r>
        <w:t>(1) Property line (lot line) adjustments with contiguous owners of conservation easement property meeting these criteria herein, and with the express approval of the Conservation Easement trustees of both properties.</w:t>
      </w:r>
    </w:p>
    <w:p w14:paraId="3A2620AC" w14:textId="32C79AFC" w:rsidR="001845FC" w:rsidRDefault="00916090" w:rsidP="00916090">
      <w:r>
        <w:t xml:space="preserve">(2) Egress and regress right-of-way may be granted to in-holders or landlocked landowners, where the granting of such rights will </w:t>
      </w:r>
      <w:r w:rsidR="00864972" w:rsidRPr="00864972">
        <w:rPr>
          <w:u w:val="single"/>
        </w:rPr>
        <w:t>not impair</w:t>
      </w:r>
      <w:r w:rsidR="00864972">
        <w:t xml:space="preserve"> </w:t>
      </w:r>
      <w:r w:rsidRPr="00864972">
        <w:rPr>
          <w:strike/>
        </w:rPr>
        <w:t>constitute a contribution to</w:t>
      </w:r>
      <w:r>
        <w:t xml:space="preserve"> the conservation values of the </w:t>
      </w:r>
      <w:r w:rsidRPr="00864972">
        <w:rPr>
          <w:strike/>
        </w:rPr>
        <w:t>region</w:t>
      </w:r>
      <w:r w:rsidR="00864972">
        <w:rPr>
          <w:strike/>
        </w:rPr>
        <w:t xml:space="preserve"> </w:t>
      </w:r>
      <w:r w:rsidR="001845FC" w:rsidRPr="00864972">
        <w:rPr>
          <w:u w:val="single"/>
        </w:rPr>
        <w:t>property</w:t>
      </w:r>
      <w:r w:rsidR="00864972">
        <w:rPr>
          <w:u w:val="single"/>
        </w:rPr>
        <w:t xml:space="preserve"> that is subject to the conservation easement</w:t>
      </w:r>
      <w:r>
        <w:t>.</w:t>
      </w:r>
    </w:p>
    <w:p w14:paraId="38664C06" w14:textId="47D610CA" w:rsidR="001845FC" w:rsidRPr="00864972" w:rsidRDefault="001845FC" w:rsidP="00916090">
      <w:pPr>
        <w:rPr>
          <w:u w:val="single"/>
        </w:rPr>
      </w:pPr>
      <w:r w:rsidRPr="00864972">
        <w:rPr>
          <w:u w:val="single"/>
        </w:rPr>
        <w:t xml:space="preserve">(3) Participation in </w:t>
      </w:r>
      <w:r w:rsidR="00E62EBE">
        <w:rPr>
          <w:u w:val="single"/>
        </w:rPr>
        <w:t>E</w:t>
      </w:r>
      <w:r w:rsidRPr="00864972">
        <w:rPr>
          <w:u w:val="single"/>
        </w:rPr>
        <w:t xml:space="preserve">cosystem </w:t>
      </w:r>
      <w:r w:rsidR="00E62EBE">
        <w:rPr>
          <w:u w:val="single"/>
        </w:rPr>
        <w:t>S</w:t>
      </w:r>
      <w:r w:rsidRPr="00864972">
        <w:rPr>
          <w:u w:val="single"/>
        </w:rPr>
        <w:t xml:space="preserve">ervice </w:t>
      </w:r>
      <w:r w:rsidR="00E62EBE">
        <w:rPr>
          <w:u w:val="single"/>
        </w:rPr>
        <w:t>M</w:t>
      </w:r>
      <w:r w:rsidRPr="00864972">
        <w:rPr>
          <w:u w:val="single"/>
        </w:rPr>
        <w:t>arkets</w:t>
      </w:r>
      <w:r w:rsidR="00947116">
        <w:rPr>
          <w:u w:val="single"/>
        </w:rPr>
        <w:t xml:space="preserve"> where such participation </w:t>
      </w:r>
      <w:r w:rsidR="009B5715">
        <w:rPr>
          <w:u w:val="single"/>
        </w:rPr>
        <w:t xml:space="preserve">will </w:t>
      </w:r>
      <w:r w:rsidR="009B5715" w:rsidRPr="009B5715">
        <w:rPr>
          <w:u w:val="single"/>
        </w:rPr>
        <w:t>not adversely affect the interest</w:t>
      </w:r>
      <w:r w:rsidR="00886C1A">
        <w:rPr>
          <w:u w:val="single"/>
        </w:rPr>
        <w:t>s</w:t>
      </w:r>
      <w:r w:rsidR="009B5715" w:rsidRPr="009B5715">
        <w:rPr>
          <w:u w:val="single"/>
        </w:rPr>
        <w:t xml:space="preserve"> granted under the </w:t>
      </w:r>
      <w:r w:rsidR="003F6053">
        <w:rPr>
          <w:u w:val="single"/>
        </w:rPr>
        <w:t xml:space="preserve">conservation </w:t>
      </w:r>
      <w:r w:rsidR="009B5715" w:rsidRPr="009B5715">
        <w:rPr>
          <w:u w:val="single"/>
        </w:rPr>
        <w:t>easement or be inconsistent with</w:t>
      </w:r>
      <w:r w:rsidR="003F6053">
        <w:rPr>
          <w:u w:val="single"/>
        </w:rPr>
        <w:t>,</w:t>
      </w:r>
      <w:r w:rsidR="009B5715" w:rsidRPr="009B5715">
        <w:rPr>
          <w:u w:val="single"/>
        </w:rPr>
        <w:t xml:space="preserve"> or defeat</w:t>
      </w:r>
      <w:r w:rsidR="003F6053">
        <w:rPr>
          <w:u w:val="single"/>
        </w:rPr>
        <w:t>,</w:t>
      </w:r>
      <w:r w:rsidR="009B5715" w:rsidRPr="009B5715">
        <w:rPr>
          <w:u w:val="single"/>
        </w:rPr>
        <w:t xml:space="preserve"> the conservation purpose for which the </w:t>
      </w:r>
      <w:r w:rsidR="003F6053">
        <w:rPr>
          <w:u w:val="single"/>
        </w:rPr>
        <w:t xml:space="preserve">conservation </w:t>
      </w:r>
      <w:r w:rsidR="009B5715" w:rsidRPr="009B5715">
        <w:rPr>
          <w:u w:val="single"/>
        </w:rPr>
        <w:t>easement was acquired.</w:t>
      </w:r>
    </w:p>
    <w:p w14:paraId="2C7369A4" w14:textId="77777777" w:rsidR="00916090" w:rsidRDefault="00916090" w:rsidP="00916090">
      <w:r>
        <w:t>(g) The Director may require the Department of Forestry and Fire Protection to hold title (be named grantee) to those conservation easements that are primarily for the purposes of conserving working forest lands.</w:t>
      </w:r>
    </w:p>
    <w:p w14:paraId="41078EDE" w14:textId="5A4BE3EA" w:rsidR="00916090" w:rsidRDefault="00916090" w:rsidP="00916090">
      <w:r>
        <w:t>Note: Authority cited: Section 12249, Public Resources Code. Reference: Section 12249, Public Resources Code; and 16 U.S.C. Section 2103 et seq.</w:t>
      </w:r>
    </w:p>
    <w:p w14:paraId="715B0892" w14:textId="1F7B7866" w:rsidR="00916090" w:rsidRPr="00916090" w:rsidRDefault="003917C0" w:rsidP="00563D8E">
      <w:r>
        <w:rPr>
          <w:b/>
          <w:bCs/>
        </w:rPr>
        <w:t>***</w:t>
      </w:r>
    </w:p>
    <w:p w14:paraId="6CB5C672" w14:textId="77777777" w:rsidR="003F6053" w:rsidRDefault="003F6053" w:rsidP="00563D8E">
      <w:pPr>
        <w:rPr>
          <w:b/>
          <w:bCs/>
        </w:rPr>
      </w:pPr>
    </w:p>
    <w:p w14:paraId="2F314E88" w14:textId="77777777" w:rsidR="003F6053" w:rsidRDefault="003F6053" w:rsidP="00563D8E">
      <w:pPr>
        <w:rPr>
          <w:b/>
          <w:bCs/>
        </w:rPr>
      </w:pPr>
    </w:p>
    <w:p w14:paraId="12FA839B" w14:textId="148AE2F3" w:rsidR="00563D8E" w:rsidRPr="00563D8E" w:rsidRDefault="00563D8E" w:rsidP="00563D8E">
      <w:pPr>
        <w:rPr>
          <w:b/>
          <w:bCs/>
        </w:rPr>
      </w:pPr>
      <w:r w:rsidRPr="00563D8E">
        <w:rPr>
          <w:b/>
          <w:bCs/>
        </w:rPr>
        <w:lastRenderedPageBreak/>
        <w:t>§ 1575.1. Responsibilities of the Department.</w:t>
      </w:r>
    </w:p>
    <w:p w14:paraId="630D21D8" w14:textId="7FE1CD97" w:rsidR="00563D8E" w:rsidRDefault="00563D8E" w:rsidP="00563D8E">
      <w:r>
        <w:t xml:space="preserve">The Director shall send to each approved applicant a </w:t>
      </w:r>
      <w:r w:rsidRPr="003F6053">
        <w:rPr>
          <w:strike/>
        </w:rPr>
        <w:t>Preliminary Purchase</w:t>
      </w:r>
      <w:r w:rsidR="003F6053">
        <w:t xml:space="preserve"> </w:t>
      </w:r>
      <w:r w:rsidR="00FF2E03" w:rsidRPr="003F6053">
        <w:rPr>
          <w:u w:val="single"/>
        </w:rPr>
        <w:t>Grant</w:t>
      </w:r>
      <w:r>
        <w:t xml:space="preserve"> Agreement outlining what, in general, is to be purchased and the tasks to be completed, and stating that the specific terms will not be known until the appraisal is complete (if the project is not a donated easement).</w:t>
      </w:r>
    </w:p>
    <w:p w14:paraId="09D84D4A" w14:textId="26195FF5" w:rsidR="00563D8E" w:rsidRDefault="00563D8E" w:rsidP="00563D8E">
      <w:r>
        <w:t xml:space="preserve">The </w:t>
      </w:r>
      <w:r w:rsidRPr="003F6053">
        <w:rPr>
          <w:strike/>
        </w:rPr>
        <w:t>purpose of the Preliminary Purchase</w:t>
      </w:r>
      <w:r>
        <w:t xml:space="preserve"> </w:t>
      </w:r>
      <w:r w:rsidR="003F6053" w:rsidRPr="003F6053">
        <w:rPr>
          <w:u w:val="single"/>
        </w:rPr>
        <w:t>Grant</w:t>
      </w:r>
      <w:r w:rsidR="003F6053">
        <w:t xml:space="preserve"> </w:t>
      </w:r>
      <w:r>
        <w:t xml:space="preserve">Agreement </w:t>
      </w:r>
      <w:r w:rsidRPr="003F6053">
        <w:rPr>
          <w:strike/>
        </w:rPr>
        <w:t>is to</w:t>
      </w:r>
      <w:r w:rsidR="003F6053">
        <w:t xml:space="preserve"> </w:t>
      </w:r>
      <w:r w:rsidR="00FF2E03" w:rsidRPr="003F6053">
        <w:rPr>
          <w:u w:val="single"/>
        </w:rPr>
        <w:t>will</w:t>
      </w:r>
      <w:r>
        <w:t xml:space="preserve"> define the nature of the work to be done and who will do it. The Department shall work with the landowner and/or their representative to obtain items necessary to complete the project; these may include, but are not limited to, the preliminary title report, survey for certificate of possession, hazardous materials assessment, and, where applicable, development of the conservation easement and appraisal.</w:t>
      </w:r>
    </w:p>
    <w:p w14:paraId="4A19BFFD" w14:textId="77777777" w:rsidR="00563D8E" w:rsidRDefault="00563D8E" w:rsidP="00563D8E">
      <w:r>
        <w:t>Except in the case of a full and complete donation of land or interest in land the following shall apply with regard to land or interest in land subject to inclusion into the Program:</w:t>
      </w:r>
    </w:p>
    <w:p w14:paraId="58E717EA" w14:textId="77777777" w:rsidR="00563D8E" w:rsidRDefault="00563D8E" w:rsidP="00563D8E">
      <w:r>
        <w:t>(a) the landowner must be informed of the fair market value of that sale of the property and that the sale is strictly voluntary;</w:t>
      </w:r>
    </w:p>
    <w:p w14:paraId="348D3F08" w14:textId="77777777" w:rsidR="00563D8E" w:rsidRDefault="00563D8E" w:rsidP="00563D8E">
      <w:r>
        <w:t>(b) the landowner must be informed that Federal and/or State appraisal standards must be met;</w:t>
      </w:r>
    </w:p>
    <w:p w14:paraId="29B7D346" w14:textId="77777777" w:rsidR="00563D8E" w:rsidRDefault="00563D8E" w:rsidP="00563D8E">
      <w:r>
        <w:t>(c) the landowner must be notified in writing that the property will not be purchased if negotiations do not result in amicable agreement; and</w:t>
      </w:r>
    </w:p>
    <w:p w14:paraId="67E909A5" w14:textId="0C30F535" w:rsidR="00563D8E" w:rsidRDefault="00563D8E" w:rsidP="00563D8E">
      <w:r>
        <w:t>(d) the landowner must be informed that payment for lands or interests in lands shall be no more than fair market value as determined by the appraisal.</w:t>
      </w:r>
    </w:p>
    <w:p w14:paraId="0702775E" w14:textId="4E4629F0" w:rsidR="00916090" w:rsidRDefault="00916090" w:rsidP="00563D8E">
      <w:r w:rsidRPr="00916090">
        <w:t>Note: Authority cited: Section 12249, Public Resources Code. Reference: Section</w:t>
      </w:r>
      <w:r w:rsidR="00E21A2D">
        <w:t>s</w:t>
      </w:r>
      <w:r w:rsidRPr="00916090">
        <w:t xml:space="preserve"> </w:t>
      </w:r>
      <w:r w:rsidR="00E21A2D">
        <w:t xml:space="preserve">12244, </w:t>
      </w:r>
      <w:r w:rsidRPr="00916090">
        <w:t>12249, Public Resources Code.</w:t>
      </w:r>
    </w:p>
    <w:p w14:paraId="76A10021" w14:textId="77777777" w:rsidR="00563D8E" w:rsidRPr="00563D8E" w:rsidRDefault="00563D8E" w:rsidP="00563D8E">
      <w:pPr>
        <w:rPr>
          <w:b/>
          <w:bCs/>
        </w:rPr>
      </w:pPr>
      <w:r w:rsidRPr="00563D8E">
        <w:rPr>
          <w:b/>
          <w:bCs/>
        </w:rPr>
        <w:t>§ 1575.2. Landowner Responsibilities.</w:t>
      </w:r>
    </w:p>
    <w:p w14:paraId="60DD90CF" w14:textId="6122BFA6" w:rsidR="00563D8E" w:rsidRDefault="00563D8E" w:rsidP="00563D8E">
      <w:r>
        <w:t>Applicants whose projects are fully funded (i.e., funds allocated to the project sufficient to satisfy the landowner's “asking” price, but not in excess of the appraised value) must complete their project within two years of the state receiving grant funds for their project</w:t>
      </w:r>
      <w:r w:rsidR="00BA3F69" w:rsidRPr="00864972">
        <w:rPr>
          <w:u w:val="single"/>
        </w:rPr>
        <w:t xml:space="preserve">, unless the fiscal limitations applicable to the available funding allow for a longer completion deadline and the </w:t>
      </w:r>
      <w:r w:rsidR="00054694" w:rsidRPr="00864972">
        <w:rPr>
          <w:u w:val="single"/>
        </w:rPr>
        <w:t>D</w:t>
      </w:r>
      <w:r w:rsidR="00BA3F69" w:rsidRPr="00864972">
        <w:rPr>
          <w:u w:val="single"/>
        </w:rPr>
        <w:t>irector agrees to allow for a longer completion deadline,</w:t>
      </w:r>
      <w:r w:rsidR="00916090">
        <w:t xml:space="preserve"> </w:t>
      </w:r>
      <w:r>
        <w:t>and will be required to</w:t>
      </w:r>
      <w:r w:rsidR="00916090">
        <w:t>:</w:t>
      </w:r>
    </w:p>
    <w:p w14:paraId="52E32E6E" w14:textId="77777777" w:rsidR="00916090" w:rsidRPr="00916090" w:rsidRDefault="00916090" w:rsidP="00916090">
      <w:r w:rsidRPr="00916090">
        <w:t xml:space="preserve">(a) Work with the state to obtain those items necessary to complete the project; these may include, but are not limited to, the preliminary title report, survey for certificate of </w:t>
      </w:r>
      <w:r w:rsidRPr="00916090">
        <w:lastRenderedPageBreak/>
        <w:t>possession, hazardous materials assessment, and, where applicable, development of the conservation easement and appraisal.</w:t>
      </w:r>
    </w:p>
    <w:p w14:paraId="707914CA" w14:textId="77777777" w:rsidR="00916090" w:rsidRPr="00916090" w:rsidRDefault="00916090" w:rsidP="00916090">
      <w:r w:rsidRPr="00916090">
        <w:t>(b) Except in cases of a full and complete donation of land or interest in land, select and retain an independent real estate appraiser to determine the value of the lands or interests in lands which shall be calculated by determining the difference between the fair market value and the restricted value of the property. This appraisal must be to State and/or Federal Appraisal Standards and will be subject to review by a qualified review appraiser. CAL FIRE approval of the appraiser and the agreement on the land to be appraised is required prior to commencement of appraisal.</w:t>
      </w:r>
    </w:p>
    <w:p w14:paraId="701F799F" w14:textId="77777777" w:rsidR="00916090" w:rsidRPr="00916090" w:rsidRDefault="00916090" w:rsidP="00916090">
      <w:r w:rsidRPr="00916090">
        <w:t>(c) Convey interest in lands to achieve the land conservation objectives of the Program.</w:t>
      </w:r>
    </w:p>
    <w:p w14:paraId="0289CCDD" w14:textId="77777777" w:rsidR="00916090" w:rsidRPr="00916090" w:rsidRDefault="00916090" w:rsidP="00916090">
      <w:r w:rsidRPr="00916090">
        <w:t>(d) Convey those interests in perpetuity.</w:t>
      </w:r>
    </w:p>
    <w:p w14:paraId="7B84F6C0" w14:textId="77777777" w:rsidR="00916090" w:rsidRPr="00916090" w:rsidRDefault="00916090" w:rsidP="00916090">
      <w:r w:rsidRPr="00916090">
        <w:t>(e) Prepare and periodically update a management plan, equivalent to, or better than, a Forest Stewardship Plan.</w:t>
      </w:r>
    </w:p>
    <w:p w14:paraId="36FB13FF" w14:textId="77777777" w:rsidR="00916090" w:rsidRPr="00916090" w:rsidRDefault="00916090" w:rsidP="00916090">
      <w:r w:rsidRPr="00916090">
        <w:t>(f) Manage property in a manner consistent with the purposes for which the land was entered into the Program with no conversion to other uses unless such uses are specifically allowed within the terms of the conservation easement, furthermore hunting, fishing, hiking and similar recreational uses shall be considered to be consistent with the purposes of the Program.</w:t>
      </w:r>
    </w:p>
    <w:p w14:paraId="593AEBF0" w14:textId="303AE7DD" w:rsidR="00916090" w:rsidRPr="00916090" w:rsidRDefault="00916090" w:rsidP="00916090">
      <w:r w:rsidRPr="00916090">
        <w:t>(g) Endow or secure funding for monitoring costs.</w:t>
      </w:r>
    </w:p>
    <w:p w14:paraId="1D803A81" w14:textId="77777777" w:rsidR="00916090" w:rsidRDefault="00916090" w:rsidP="00916090">
      <w:r w:rsidRPr="00916090">
        <w:t>Note: Authority cited: Section 12249, Public Resources Code. Reference: Section 12262, Public Resources Code; and 16 U.S.C. Section 2103 et seq.</w:t>
      </w:r>
    </w:p>
    <w:p w14:paraId="345FC9E8" w14:textId="77777777" w:rsidR="00916090" w:rsidRDefault="00916090" w:rsidP="00563D8E"/>
    <w:sectPr w:rsidR="0091609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AF01" w14:textId="77777777" w:rsidR="00C11253" w:rsidRDefault="00C11253" w:rsidP="00C11253">
      <w:pPr>
        <w:spacing w:after="0" w:line="240" w:lineRule="auto"/>
      </w:pPr>
      <w:r>
        <w:separator/>
      </w:r>
    </w:p>
  </w:endnote>
  <w:endnote w:type="continuationSeparator" w:id="0">
    <w:p w14:paraId="1F221EE7" w14:textId="77777777" w:rsidR="00C11253" w:rsidRDefault="00C11253" w:rsidP="00C1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489024"/>
      <w:docPartObj>
        <w:docPartGallery w:val="Page Numbers (Bottom of Page)"/>
        <w:docPartUnique/>
      </w:docPartObj>
    </w:sdtPr>
    <w:sdtEndPr>
      <w:rPr>
        <w:noProof/>
      </w:rPr>
    </w:sdtEndPr>
    <w:sdtContent>
      <w:p w14:paraId="0BB043C7" w14:textId="13BC53FD" w:rsidR="00C11253" w:rsidRDefault="00C11253">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t>JOINT 5(a)</w:t>
        </w:r>
      </w:p>
    </w:sdtContent>
  </w:sdt>
  <w:p w14:paraId="16A60739" w14:textId="77777777" w:rsidR="00C11253" w:rsidRDefault="00C11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68E4" w14:textId="77777777" w:rsidR="00C11253" w:rsidRDefault="00C11253" w:rsidP="00C11253">
      <w:pPr>
        <w:spacing w:after="0" w:line="240" w:lineRule="auto"/>
      </w:pPr>
      <w:r>
        <w:separator/>
      </w:r>
    </w:p>
  </w:footnote>
  <w:footnote w:type="continuationSeparator" w:id="0">
    <w:p w14:paraId="1B446E5F" w14:textId="77777777" w:rsidR="00C11253" w:rsidRDefault="00C11253" w:rsidP="00C112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1owUDS4CzB6ddvqS0XpIeFotTZQc/V0GlPzLIuFCjMH5sF7646hK9i+eFhItrv4I2fRxKx3So0+rKyLWID/pA==" w:salt="f9QTYbPWYKtO1yzBBS66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89"/>
    <w:rsid w:val="00053340"/>
    <w:rsid w:val="00054694"/>
    <w:rsid w:val="000923ED"/>
    <w:rsid w:val="00092643"/>
    <w:rsid w:val="000A7078"/>
    <w:rsid w:val="000C1438"/>
    <w:rsid w:val="001845FC"/>
    <w:rsid w:val="001959EF"/>
    <w:rsid w:val="001C059B"/>
    <w:rsid w:val="002949F7"/>
    <w:rsid w:val="002E142B"/>
    <w:rsid w:val="003304D1"/>
    <w:rsid w:val="00375BDC"/>
    <w:rsid w:val="0037711F"/>
    <w:rsid w:val="003917C0"/>
    <w:rsid w:val="003B1A62"/>
    <w:rsid w:val="003F6053"/>
    <w:rsid w:val="00497CA3"/>
    <w:rsid w:val="00563D8E"/>
    <w:rsid w:val="005C0286"/>
    <w:rsid w:val="005D4723"/>
    <w:rsid w:val="005F07CC"/>
    <w:rsid w:val="00622570"/>
    <w:rsid w:val="00684367"/>
    <w:rsid w:val="006B2FD0"/>
    <w:rsid w:val="006D4B42"/>
    <w:rsid w:val="00777DD3"/>
    <w:rsid w:val="007A1101"/>
    <w:rsid w:val="007F531D"/>
    <w:rsid w:val="00805E7A"/>
    <w:rsid w:val="00862AE8"/>
    <w:rsid w:val="00864972"/>
    <w:rsid w:val="00886C1A"/>
    <w:rsid w:val="00894C99"/>
    <w:rsid w:val="008D3A4E"/>
    <w:rsid w:val="00902CD0"/>
    <w:rsid w:val="00916090"/>
    <w:rsid w:val="00931642"/>
    <w:rsid w:val="00947116"/>
    <w:rsid w:val="00954FE4"/>
    <w:rsid w:val="0099405C"/>
    <w:rsid w:val="009B5715"/>
    <w:rsid w:val="00A36A21"/>
    <w:rsid w:val="00AA3E0B"/>
    <w:rsid w:val="00B13709"/>
    <w:rsid w:val="00B6639D"/>
    <w:rsid w:val="00B906ED"/>
    <w:rsid w:val="00B96C67"/>
    <w:rsid w:val="00B97AFB"/>
    <w:rsid w:val="00BA09FD"/>
    <w:rsid w:val="00BA3F69"/>
    <w:rsid w:val="00BD4B66"/>
    <w:rsid w:val="00BD6A02"/>
    <w:rsid w:val="00C11253"/>
    <w:rsid w:val="00C208EC"/>
    <w:rsid w:val="00C31DD9"/>
    <w:rsid w:val="00D47501"/>
    <w:rsid w:val="00DC34F0"/>
    <w:rsid w:val="00E21A2D"/>
    <w:rsid w:val="00E24DC0"/>
    <w:rsid w:val="00E62EBE"/>
    <w:rsid w:val="00EA63E2"/>
    <w:rsid w:val="00F01D4A"/>
    <w:rsid w:val="00F23108"/>
    <w:rsid w:val="00F70E89"/>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6C5B"/>
  <w15:chartTrackingRefBased/>
  <w15:docId w15:val="{245D4C72-3011-40AD-815E-2FFB03A6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E89"/>
    <w:rPr>
      <w:rFonts w:eastAsiaTheme="majorEastAsia" w:cstheme="majorBidi"/>
      <w:color w:val="272727" w:themeColor="text1" w:themeTint="D8"/>
    </w:rPr>
  </w:style>
  <w:style w:type="paragraph" w:styleId="Title">
    <w:name w:val="Title"/>
    <w:basedOn w:val="Normal"/>
    <w:next w:val="Normal"/>
    <w:link w:val="TitleChar"/>
    <w:uiPriority w:val="10"/>
    <w:qFormat/>
    <w:rsid w:val="00F70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E89"/>
    <w:pPr>
      <w:spacing w:before="160"/>
      <w:jc w:val="center"/>
    </w:pPr>
    <w:rPr>
      <w:i/>
      <w:iCs/>
      <w:color w:val="404040" w:themeColor="text1" w:themeTint="BF"/>
    </w:rPr>
  </w:style>
  <w:style w:type="character" w:customStyle="1" w:styleId="QuoteChar">
    <w:name w:val="Quote Char"/>
    <w:basedOn w:val="DefaultParagraphFont"/>
    <w:link w:val="Quote"/>
    <w:uiPriority w:val="29"/>
    <w:rsid w:val="00F70E89"/>
    <w:rPr>
      <w:i/>
      <w:iCs/>
      <w:color w:val="404040" w:themeColor="text1" w:themeTint="BF"/>
    </w:rPr>
  </w:style>
  <w:style w:type="paragraph" w:styleId="ListParagraph">
    <w:name w:val="List Paragraph"/>
    <w:basedOn w:val="Normal"/>
    <w:uiPriority w:val="34"/>
    <w:qFormat/>
    <w:rsid w:val="00F70E89"/>
    <w:pPr>
      <w:ind w:left="720"/>
      <w:contextualSpacing/>
    </w:pPr>
  </w:style>
  <w:style w:type="character" w:styleId="IntenseEmphasis">
    <w:name w:val="Intense Emphasis"/>
    <w:basedOn w:val="DefaultParagraphFont"/>
    <w:uiPriority w:val="21"/>
    <w:qFormat/>
    <w:rsid w:val="00F70E89"/>
    <w:rPr>
      <w:i/>
      <w:iCs/>
      <w:color w:val="0F4761" w:themeColor="accent1" w:themeShade="BF"/>
    </w:rPr>
  </w:style>
  <w:style w:type="paragraph" w:styleId="IntenseQuote">
    <w:name w:val="Intense Quote"/>
    <w:basedOn w:val="Normal"/>
    <w:next w:val="Normal"/>
    <w:link w:val="IntenseQuoteChar"/>
    <w:uiPriority w:val="30"/>
    <w:qFormat/>
    <w:rsid w:val="00F70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E89"/>
    <w:rPr>
      <w:i/>
      <w:iCs/>
      <w:color w:val="0F4761" w:themeColor="accent1" w:themeShade="BF"/>
    </w:rPr>
  </w:style>
  <w:style w:type="character" w:styleId="IntenseReference">
    <w:name w:val="Intense Reference"/>
    <w:basedOn w:val="DefaultParagraphFont"/>
    <w:uiPriority w:val="32"/>
    <w:qFormat/>
    <w:rsid w:val="00F70E89"/>
    <w:rPr>
      <w:b/>
      <w:bCs/>
      <w:smallCaps/>
      <w:color w:val="0F4761" w:themeColor="accent1" w:themeShade="BF"/>
      <w:spacing w:val="5"/>
    </w:rPr>
  </w:style>
  <w:style w:type="character" w:styleId="CommentReference">
    <w:name w:val="annotation reference"/>
    <w:basedOn w:val="DefaultParagraphFont"/>
    <w:uiPriority w:val="99"/>
    <w:semiHidden/>
    <w:unhideWhenUsed/>
    <w:rsid w:val="00F70E89"/>
    <w:rPr>
      <w:sz w:val="16"/>
      <w:szCs w:val="16"/>
    </w:rPr>
  </w:style>
  <w:style w:type="paragraph" w:styleId="CommentText">
    <w:name w:val="annotation text"/>
    <w:basedOn w:val="Normal"/>
    <w:link w:val="CommentTextChar"/>
    <w:uiPriority w:val="99"/>
    <w:unhideWhenUsed/>
    <w:rsid w:val="00F70E89"/>
    <w:pPr>
      <w:spacing w:line="240" w:lineRule="auto"/>
    </w:pPr>
    <w:rPr>
      <w:sz w:val="20"/>
      <w:szCs w:val="20"/>
    </w:rPr>
  </w:style>
  <w:style w:type="character" w:customStyle="1" w:styleId="CommentTextChar">
    <w:name w:val="Comment Text Char"/>
    <w:basedOn w:val="DefaultParagraphFont"/>
    <w:link w:val="CommentText"/>
    <w:uiPriority w:val="99"/>
    <w:rsid w:val="00F70E89"/>
    <w:rPr>
      <w:sz w:val="20"/>
      <w:szCs w:val="20"/>
    </w:rPr>
  </w:style>
  <w:style w:type="paragraph" w:styleId="CommentSubject">
    <w:name w:val="annotation subject"/>
    <w:basedOn w:val="CommentText"/>
    <w:next w:val="CommentText"/>
    <w:link w:val="CommentSubjectChar"/>
    <w:uiPriority w:val="99"/>
    <w:semiHidden/>
    <w:unhideWhenUsed/>
    <w:rsid w:val="00F70E89"/>
    <w:rPr>
      <w:b/>
      <w:bCs/>
    </w:rPr>
  </w:style>
  <w:style w:type="character" w:customStyle="1" w:styleId="CommentSubjectChar">
    <w:name w:val="Comment Subject Char"/>
    <w:basedOn w:val="CommentTextChar"/>
    <w:link w:val="CommentSubject"/>
    <w:uiPriority w:val="99"/>
    <w:semiHidden/>
    <w:rsid w:val="00F70E89"/>
    <w:rPr>
      <w:b/>
      <w:bCs/>
      <w:sz w:val="20"/>
      <w:szCs w:val="20"/>
    </w:rPr>
  </w:style>
  <w:style w:type="character" w:styleId="Hyperlink">
    <w:name w:val="Hyperlink"/>
    <w:basedOn w:val="DefaultParagraphFont"/>
    <w:uiPriority w:val="99"/>
    <w:unhideWhenUsed/>
    <w:rsid w:val="00563D8E"/>
    <w:rPr>
      <w:color w:val="467886" w:themeColor="hyperlink"/>
      <w:u w:val="single"/>
    </w:rPr>
  </w:style>
  <w:style w:type="character" w:styleId="UnresolvedMention">
    <w:name w:val="Unresolved Mention"/>
    <w:basedOn w:val="DefaultParagraphFont"/>
    <w:uiPriority w:val="99"/>
    <w:semiHidden/>
    <w:unhideWhenUsed/>
    <w:rsid w:val="00563D8E"/>
    <w:rPr>
      <w:color w:val="605E5C"/>
      <w:shd w:val="clear" w:color="auto" w:fill="E1DFDD"/>
    </w:rPr>
  </w:style>
  <w:style w:type="paragraph" w:styleId="Revision">
    <w:name w:val="Revision"/>
    <w:hidden/>
    <w:uiPriority w:val="99"/>
    <w:semiHidden/>
    <w:rsid w:val="005D4723"/>
    <w:pPr>
      <w:spacing w:after="0" w:line="240" w:lineRule="auto"/>
    </w:pPr>
  </w:style>
  <w:style w:type="paragraph" w:styleId="Header">
    <w:name w:val="header"/>
    <w:basedOn w:val="Normal"/>
    <w:link w:val="HeaderChar"/>
    <w:uiPriority w:val="99"/>
    <w:unhideWhenUsed/>
    <w:rsid w:val="00C11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253"/>
  </w:style>
  <w:style w:type="paragraph" w:styleId="Footer">
    <w:name w:val="footer"/>
    <w:basedOn w:val="Normal"/>
    <w:link w:val="FooterChar"/>
    <w:uiPriority w:val="99"/>
    <w:unhideWhenUsed/>
    <w:rsid w:val="00C11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3976</TotalTime>
  <Pages>5</Pages>
  <Words>1452</Words>
  <Characters>8152</Characters>
  <Application>Microsoft Office Word</Application>
  <DocSecurity>8</DocSecurity>
  <Lines>146</Lines>
  <Paragraphs>63</Paragraphs>
  <ScaleCrop>false</ScaleCrop>
  <HeadingPairs>
    <vt:vector size="2" baseType="variant">
      <vt:variant>
        <vt:lpstr>Title</vt:lpstr>
      </vt:variant>
      <vt:variant>
        <vt:i4>1</vt:i4>
      </vt:variant>
    </vt:vector>
  </HeadingPairs>
  <TitlesOfParts>
    <vt:vector size="1" baseType="lpstr">
      <vt:lpstr/>
    </vt:vector>
  </TitlesOfParts>
  <Company>CALFIRE</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Leary, Alison@CALFIRE</dc:creator>
  <cp:keywords/>
  <dc:description/>
  <cp:lastModifiedBy>VanSusteren, Jane@BOF</cp:lastModifiedBy>
  <cp:revision>12</cp:revision>
  <dcterms:created xsi:type="dcterms:W3CDTF">2026-01-29T00:13:00Z</dcterms:created>
  <dcterms:modified xsi:type="dcterms:W3CDTF">2026-04-06T21:14:00Z</dcterms:modified>
</cp:coreProperties>
</file>