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1ECA" w14:textId="3A575DE4" w:rsidR="006D1A67" w:rsidRPr="00223E2D" w:rsidRDefault="006D1A67" w:rsidP="006D1A67">
      <w:pPr>
        <w:rPr>
          <w:rFonts w:cstheme="minorHAnsi"/>
          <w:b/>
          <w:bCs/>
          <w:u w:val="single"/>
        </w:rPr>
      </w:pPr>
      <w:r w:rsidRPr="00223E2D">
        <w:rPr>
          <w:rFonts w:cstheme="minorHAnsi"/>
          <w:b/>
          <w:bCs/>
          <w:u w:val="single"/>
        </w:rPr>
        <w:t>ITEM #19 TRACTOR OPERATIONS IN AREAS DESIGNATED FOR CABLE YARDING</w:t>
      </w:r>
      <w:r w:rsidR="00F41210" w:rsidRPr="00223E2D">
        <w:rPr>
          <w:rFonts w:cstheme="minorHAnsi"/>
        </w:rPr>
        <w:t xml:space="preserve"> </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83"/>
        <w:gridCol w:w="8177"/>
      </w:tblGrid>
      <w:tr w:rsidR="006D1A67" w:rsidRPr="00223E2D" w14:paraId="448452E8" w14:textId="77777777" w:rsidTr="008537F5">
        <w:trPr>
          <w:trHeight w:val="350"/>
        </w:trPr>
        <w:tc>
          <w:tcPr>
            <w:tcW w:w="10070" w:type="dxa"/>
            <w:gridSpan w:val="2"/>
            <w:noWrap/>
            <w:vAlign w:val="center"/>
            <w:hideMark/>
          </w:tcPr>
          <w:p w14:paraId="2590F143" w14:textId="4F39A6F7" w:rsidR="006D1A67" w:rsidRPr="00223E2D" w:rsidRDefault="003501D2" w:rsidP="00C360B4">
            <w:pPr>
              <w:spacing w:line="20" w:lineRule="atLeast"/>
              <w:rPr>
                <w:rFonts w:cstheme="minorHAnsi"/>
                <w:b/>
                <w:bCs/>
              </w:rPr>
            </w:pPr>
            <w:r w:rsidRPr="00223E2D">
              <w:rPr>
                <w:rFonts w:cstheme="minorHAnsi"/>
              </w:rPr>
              <w:t xml:space="preserve">[ref. 14 CCR § 914.2 </w:t>
            </w:r>
            <w:r w:rsidR="00206E3C">
              <w:rPr>
                <w:rFonts w:cstheme="minorHAnsi"/>
              </w:rPr>
              <w:t>[</w:t>
            </w:r>
            <w:r w:rsidRPr="00223E2D">
              <w:rPr>
                <w:rFonts w:cstheme="minorHAnsi"/>
              </w:rPr>
              <w:t>934.2, 954.2</w:t>
            </w:r>
            <w:r w:rsidR="00206E3C">
              <w:rPr>
                <w:rFonts w:cstheme="minorHAnsi"/>
              </w:rPr>
              <w:t>]</w:t>
            </w:r>
            <w:r w:rsidRPr="00223E2D">
              <w:rPr>
                <w:rFonts w:cstheme="minorHAnsi"/>
              </w:rPr>
              <w:t>]</w:t>
            </w:r>
          </w:p>
        </w:tc>
      </w:tr>
      <w:tr w:rsidR="006D1A67" w:rsidRPr="00223E2D" w14:paraId="61AACF94" w14:textId="77777777" w:rsidTr="008537F5">
        <w:trPr>
          <w:trHeight w:val="1700"/>
        </w:trPr>
        <w:tc>
          <w:tcPr>
            <w:tcW w:w="1885" w:type="dxa"/>
            <w:noWrap/>
          </w:tcPr>
          <w:p w14:paraId="236D77A2" w14:textId="0245F62C" w:rsidR="006D1A67" w:rsidRPr="00223E2D" w:rsidRDefault="006D1A67" w:rsidP="00C360B4">
            <w:pPr>
              <w:spacing w:after="160" w:line="20" w:lineRule="atLeast"/>
              <w:rPr>
                <w:rFonts w:cstheme="minorHAnsi"/>
              </w:rPr>
            </w:pPr>
            <w:r w:rsidRPr="00223E2D">
              <w:rPr>
                <w:rFonts w:cstheme="minorHAnsi"/>
                <w:b/>
                <w:bCs/>
              </w:rPr>
              <w:t>a.</w:t>
            </w:r>
            <w:r w:rsidRPr="00223E2D">
              <w:rPr>
                <w:rFonts w:cstheme="minorHAnsi"/>
              </w:rPr>
              <w:t xml:space="preserve"> </w:t>
            </w:r>
            <w:r w:rsidR="002A669D">
              <w:rPr>
                <w:rFonts w:cstheme="minorHAnsi"/>
              </w:rPr>
              <w:t xml:space="preserve"> </w:t>
            </w:r>
            <w:r w:rsidRPr="00223E2D">
              <w:rPr>
                <w:rFonts w:cstheme="minorHAnsi"/>
              </w:rPr>
              <w:t>[</w:t>
            </w:r>
            <w:r w:rsidRPr="00223E2D">
              <w:rPr>
                <w:rFonts w:ascii="Segoe UI Symbol" w:hAnsi="Segoe UI Symbol" w:cs="Segoe UI Symbol"/>
                <w:b/>
                <w:bCs/>
              </w:rPr>
              <w:t>☐</w:t>
            </w:r>
            <w:r w:rsidRPr="00223E2D">
              <w:rPr>
                <w:rFonts w:cstheme="minorHAnsi"/>
              </w:rPr>
              <w:t>]</w:t>
            </w:r>
            <w:r w:rsidR="00F37F0B" w:rsidRPr="00223E2D">
              <w:rPr>
                <w:rFonts w:cstheme="minorHAnsi"/>
              </w:rPr>
              <w:t xml:space="preserve">Yes </w:t>
            </w:r>
            <w:r w:rsidR="00A309D2" w:rsidRPr="00223E2D">
              <w:rPr>
                <w:rFonts w:cstheme="minorHAnsi"/>
              </w:rPr>
              <w:t xml:space="preserve"> </w:t>
            </w:r>
            <w:r w:rsidR="00F37F0B" w:rsidRPr="00223E2D">
              <w:rPr>
                <w:rFonts w:cstheme="minorHAnsi"/>
              </w:rPr>
              <w:t>[</w:t>
            </w:r>
            <w:r w:rsidRPr="00223E2D">
              <w:rPr>
                <w:rFonts w:ascii="Segoe UI Symbol" w:hAnsi="Segoe UI Symbol" w:cs="Segoe UI Symbol"/>
                <w:b/>
                <w:bCs/>
              </w:rPr>
              <w:t>☐</w:t>
            </w:r>
            <w:r w:rsidRPr="00223E2D">
              <w:rPr>
                <w:rFonts w:cstheme="minorHAnsi"/>
              </w:rPr>
              <w:t>]No</w:t>
            </w:r>
          </w:p>
        </w:tc>
        <w:tc>
          <w:tcPr>
            <w:tcW w:w="8185" w:type="dxa"/>
          </w:tcPr>
          <w:p w14:paraId="70685AD3" w14:textId="77777777" w:rsidR="00D27401" w:rsidRPr="00223E2D" w:rsidRDefault="006D1A67" w:rsidP="00D27401">
            <w:pPr>
              <w:spacing w:after="120" w:line="20" w:lineRule="atLeast"/>
              <w:rPr>
                <w:rFonts w:cstheme="minorHAnsi"/>
              </w:rPr>
            </w:pPr>
            <w:r w:rsidRPr="00223E2D">
              <w:rPr>
                <w:rFonts w:cstheme="minorHAnsi"/>
              </w:rPr>
              <w:t>Will Non-Tethered Tractor Operations occur in areas designated for Cable Yarding on slopes over 50%?</w:t>
            </w:r>
          </w:p>
          <w:p w14:paraId="1F72CE86" w14:textId="25AE3CD7" w:rsidR="00D177E2" w:rsidRPr="00D177E2" w:rsidRDefault="00D177E2" w:rsidP="00D27401">
            <w:pPr>
              <w:spacing w:after="120" w:line="20" w:lineRule="atLeast"/>
              <w:rPr>
                <w:rFonts w:cstheme="minorHAnsi"/>
                <w:b/>
                <w:bCs/>
              </w:rPr>
            </w:pPr>
            <w:r w:rsidRPr="00223E2D">
              <w:rPr>
                <w:rFonts w:cstheme="minorHAnsi"/>
                <w:b/>
              </w:rPr>
              <w:t>If “Yes” provide site specific instructions to the LTO in SECTION II</w:t>
            </w:r>
            <w:r>
              <w:rPr>
                <w:rFonts w:cstheme="minorHAnsi"/>
                <w:b/>
              </w:rPr>
              <w:t xml:space="preserve">, </w:t>
            </w:r>
            <w:r w:rsidRPr="00D177E2">
              <w:rPr>
                <w:b/>
                <w:bCs/>
              </w:rPr>
              <w:t>including operation measures necessary to avoid or minimize significant effects</w:t>
            </w:r>
            <w:r>
              <w:rPr>
                <w:b/>
                <w:bCs/>
              </w:rPr>
              <w:t>.</w:t>
            </w:r>
          </w:p>
          <w:p w14:paraId="3993442A" w14:textId="6F8D6BF0" w:rsidR="006D1A67" w:rsidRPr="00223E2D" w:rsidRDefault="006D1A67" w:rsidP="00D27401">
            <w:pPr>
              <w:spacing w:after="120" w:line="20" w:lineRule="atLeast"/>
              <w:rPr>
                <w:rFonts w:cstheme="minorHAnsi"/>
              </w:rPr>
            </w:pPr>
            <w:r w:rsidRPr="00223E2D">
              <w:rPr>
                <w:rFonts w:cstheme="minorHAnsi"/>
                <w:b/>
                <w:bCs/>
              </w:rPr>
              <w:t xml:space="preserve">NOTE: </w:t>
            </w:r>
            <w:r w:rsidRPr="00223E2D">
              <w:rPr>
                <w:rFonts w:cstheme="minorHAnsi"/>
                <w:b/>
                <w:bCs/>
                <w:u w:val="single"/>
              </w:rPr>
              <w:t>Regardless of slope,</w:t>
            </w:r>
            <w:r w:rsidRPr="00223E2D">
              <w:rPr>
                <w:rFonts w:cstheme="minorHAnsi"/>
                <w:b/>
                <w:bCs/>
              </w:rPr>
              <w:t xml:space="preserve"> boundaries of all areas where Tractor Operations are proposed in areas designated for Cable Yarding shall be mapped per 14 CCR § 1034(x)(17).   In addition, provide an explanation and justification for any Tractor Operations in areas designated for Cable yarding in SECTION III.</w:t>
            </w:r>
          </w:p>
        </w:tc>
      </w:tr>
    </w:tbl>
    <w:p w14:paraId="6BFC15CC" w14:textId="77777777" w:rsidR="006D1A67" w:rsidRPr="00223E2D" w:rsidRDefault="006D1A67" w:rsidP="00C360B4">
      <w:pPr>
        <w:spacing w:line="20" w:lineRule="atLeast"/>
        <w:rPr>
          <w:rFonts w:cstheme="minorHAnsi"/>
          <w:b/>
          <w:bCs/>
          <w:u w:val="single"/>
        </w:rPr>
      </w:pPr>
    </w:p>
    <w:p w14:paraId="580382FC" w14:textId="56E7F2F4" w:rsidR="006D1A67" w:rsidRPr="00223E2D" w:rsidRDefault="006D1A67" w:rsidP="00C360B4">
      <w:pPr>
        <w:spacing w:line="20" w:lineRule="atLeast"/>
        <w:rPr>
          <w:rFonts w:cstheme="minorHAnsi"/>
          <w:b/>
          <w:bCs/>
          <w:u w:val="single"/>
        </w:rPr>
      </w:pPr>
      <w:r w:rsidRPr="00223E2D">
        <w:rPr>
          <w:rFonts w:cstheme="minorHAnsi"/>
          <w:b/>
          <w:bCs/>
          <w:u w:val="single"/>
        </w:rPr>
        <w:t>ITEM #20 ALTERNATIVE PRACTICES</w:t>
      </w:r>
      <w:r w:rsidR="00F41210" w:rsidRPr="00223E2D">
        <w:rPr>
          <w:rFonts w:cstheme="minorHAnsi"/>
          <w:b/>
          <w:bCs/>
          <w:u w:val="single"/>
        </w:rPr>
        <w:t xml:space="preserve"> TO STANDARD RULES</w:t>
      </w:r>
      <w:r w:rsidRPr="00223E2D">
        <w:rPr>
          <w:rFonts w:cstheme="minorHAnsi"/>
          <w:b/>
          <w:bCs/>
        </w:rPr>
        <w:t xml:space="preserve"> </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84"/>
        <w:gridCol w:w="8176"/>
      </w:tblGrid>
      <w:tr w:rsidR="00816B14" w:rsidRPr="00223E2D" w14:paraId="7DFF20EB" w14:textId="77777777" w:rsidTr="008537F5">
        <w:trPr>
          <w:trHeight w:val="359"/>
        </w:trPr>
        <w:tc>
          <w:tcPr>
            <w:tcW w:w="10070" w:type="dxa"/>
            <w:gridSpan w:val="2"/>
            <w:vAlign w:val="center"/>
          </w:tcPr>
          <w:p w14:paraId="0E12B039" w14:textId="59118A4E" w:rsidR="00816B14" w:rsidRPr="00223E2D" w:rsidRDefault="003501D2" w:rsidP="00C360B4">
            <w:pPr>
              <w:spacing w:line="20" w:lineRule="atLeast"/>
              <w:ind w:right="-22"/>
              <w:rPr>
                <w:rFonts w:cstheme="minorHAnsi"/>
              </w:rPr>
            </w:pPr>
            <w:r w:rsidRPr="00223E2D">
              <w:rPr>
                <w:rFonts w:cstheme="minorHAnsi"/>
              </w:rPr>
              <w:t>[ref. 14 CCR § 914.9 [934.9, 954.9](a)]</w:t>
            </w:r>
          </w:p>
        </w:tc>
      </w:tr>
      <w:tr w:rsidR="00816B14" w:rsidRPr="00223E2D" w14:paraId="253A4680" w14:textId="77777777" w:rsidTr="008537F5">
        <w:trPr>
          <w:trHeight w:val="1790"/>
        </w:trPr>
        <w:tc>
          <w:tcPr>
            <w:tcW w:w="1885" w:type="dxa"/>
            <w:shd w:val="clear" w:color="auto" w:fill="FFFFFF" w:themeFill="background1"/>
          </w:tcPr>
          <w:p w14:paraId="3F9EC9A3" w14:textId="7758AECA" w:rsidR="00816B14" w:rsidRPr="00223E2D" w:rsidRDefault="00816B14" w:rsidP="002A669D">
            <w:pPr>
              <w:pStyle w:val="ListParagraph"/>
              <w:numPr>
                <w:ilvl w:val="0"/>
                <w:numId w:val="2"/>
              </w:numPr>
              <w:spacing w:line="20" w:lineRule="atLeast"/>
              <w:ind w:left="247" w:hanging="270"/>
              <w:rPr>
                <w:rFonts w:cstheme="minorHAnsi"/>
              </w:rPr>
            </w:pPr>
            <w:r w:rsidRPr="00223E2D">
              <w:rPr>
                <w:rFonts w:cstheme="minorHAnsi"/>
              </w:rPr>
              <w:t>[</w:t>
            </w:r>
            <w:sdt>
              <w:sdtPr>
                <w:rPr>
                  <w:rFonts w:eastAsia="MS Gothic" w:cstheme="minorHAnsi"/>
                  <w:b/>
                </w:rPr>
                <w:id w:val="-1761277647"/>
                <w14:checkbox>
                  <w14:checked w14:val="0"/>
                  <w14:checkedState w14:val="0058" w14:font="Arial Black"/>
                  <w14:uncheckedState w14:val="2610" w14:font="MS Gothic"/>
                </w14:checkbox>
              </w:sdtPr>
              <w:sdtEndPr/>
              <w:sdtContent>
                <w:r w:rsidRPr="00223E2D">
                  <w:rPr>
                    <w:rFonts w:ascii="Segoe UI Symbol" w:eastAsia="MS Gothic" w:hAnsi="Segoe UI Symbol" w:cs="Segoe UI Symbol"/>
                    <w:b/>
                  </w:rPr>
                  <w:t>☐</w:t>
                </w:r>
              </w:sdtContent>
            </w:sdt>
            <w:r w:rsidRPr="00223E2D">
              <w:rPr>
                <w:rFonts w:cstheme="minorHAnsi"/>
              </w:rPr>
              <w:t>]</w:t>
            </w:r>
            <w:r w:rsidR="00F37F0B" w:rsidRPr="00223E2D">
              <w:rPr>
                <w:rFonts w:cstheme="minorHAnsi"/>
              </w:rPr>
              <w:t>Yes</w:t>
            </w:r>
            <w:r w:rsidR="00A309D2" w:rsidRPr="00223E2D">
              <w:rPr>
                <w:rFonts w:cstheme="minorHAnsi"/>
              </w:rPr>
              <w:t xml:space="preserve"> </w:t>
            </w:r>
            <w:r w:rsidR="002A669D">
              <w:rPr>
                <w:rFonts w:cstheme="minorHAnsi"/>
              </w:rPr>
              <w:t xml:space="preserve"> </w:t>
            </w:r>
            <w:r w:rsidR="00F37F0B" w:rsidRPr="00223E2D">
              <w:rPr>
                <w:rFonts w:cstheme="minorHAnsi"/>
              </w:rPr>
              <w:t>[</w:t>
            </w:r>
            <w:sdt>
              <w:sdtPr>
                <w:rPr>
                  <w:rFonts w:eastAsia="MS Gothic" w:cstheme="minorHAnsi"/>
                  <w:b/>
                </w:rPr>
                <w:id w:val="-498429701"/>
                <w14:checkbox>
                  <w14:checked w14:val="0"/>
                  <w14:checkedState w14:val="0058" w14:font="Arial Black"/>
                  <w14:uncheckedState w14:val="2610" w14:font="MS Gothic"/>
                </w14:checkbox>
              </w:sdtPr>
              <w:sdtEndPr/>
              <w:sdtContent>
                <w:r w:rsidRPr="00223E2D">
                  <w:rPr>
                    <w:rFonts w:ascii="Segoe UI Symbol" w:eastAsia="MS Gothic" w:hAnsi="Segoe UI Symbol" w:cs="Segoe UI Symbol"/>
                    <w:b/>
                  </w:rPr>
                  <w:t>☐</w:t>
                </w:r>
              </w:sdtContent>
            </w:sdt>
            <w:r w:rsidRPr="00223E2D">
              <w:rPr>
                <w:rFonts w:cstheme="minorHAnsi"/>
              </w:rPr>
              <w:t>]No</w:t>
            </w:r>
          </w:p>
        </w:tc>
        <w:tc>
          <w:tcPr>
            <w:tcW w:w="8185" w:type="dxa"/>
            <w:shd w:val="clear" w:color="auto" w:fill="FFFFFF" w:themeFill="background1"/>
          </w:tcPr>
          <w:p w14:paraId="33164F1A" w14:textId="77777777" w:rsidR="00816B14" w:rsidRPr="00223E2D" w:rsidRDefault="00816B14" w:rsidP="00D27401">
            <w:pPr>
              <w:spacing w:after="120" w:line="0" w:lineRule="atLeast"/>
              <w:rPr>
                <w:rFonts w:cstheme="minorHAnsi"/>
                <w:sz w:val="20"/>
                <w:szCs w:val="20"/>
              </w:rPr>
            </w:pPr>
            <w:r w:rsidRPr="00223E2D">
              <w:rPr>
                <w:rFonts w:cstheme="minorHAnsi"/>
                <w:sz w:val="20"/>
                <w:szCs w:val="20"/>
              </w:rPr>
              <w:t>Is the RPF proposing any Alternative Practices to the standard rule on a site-specific basis?</w:t>
            </w:r>
          </w:p>
          <w:p w14:paraId="49AA4C34" w14:textId="2283FFC1" w:rsidR="00816B14" w:rsidRPr="00223E2D" w:rsidRDefault="00816B14" w:rsidP="00C360B4">
            <w:pPr>
              <w:spacing w:line="20" w:lineRule="atLeast"/>
              <w:rPr>
                <w:rFonts w:cstheme="minorHAnsi"/>
              </w:rPr>
            </w:pPr>
            <w:r w:rsidRPr="00223E2D">
              <w:rPr>
                <w:rFonts w:cstheme="minorHAnsi"/>
                <w:b/>
              </w:rPr>
              <w:t xml:space="preserve">If “Yes” provide instruction to the LTO in SECTION II on how the Alternative shall be implemented to maintain equal protection of the standard rule.  In SECTION III, explain how the Alternative </w:t>
            </w:r>
            <w:r w:rsidR="007C5651">
              <w:rPr>
                <w:rFonts w:cstheme="minorHAnsi"/>
                <w:b/>
              </w:rPr>
              <w:t xml:space="preserve">Practice </w:t>
            </w:r>
            <w:r w:rsidRPr="00223E2D">
              <w:rPr>
                <w:rFonts w:cstheme="minorHAnsi"/>
                <w:b/>
              </w:rPr>
              <w:t>proposed achieves environmental protection at least equal to that</w:t>
            </w:r>
            <w:r w:rsidRPr="00223E2D">
              <w:rPr>
                <w:rFonts w:cstheme="minorHAnsi"/>
              </w:rPr>
              <w:t xml:space="preserve"> </w:t>
            </w:r>
            <w:r w:rsidRPr="00223E2D">
              <w:rPr>
                <w:rFonts w:cstheme="minorHAnsi"/>
                <w:b/>
              </w:rPr>
              <w:t>which would result from using measures stated in 14 CCR §</w:t>
            </w:r>
            <w:r w:rsidR="008C48F1" w:rsidRPr="00223E2D">
              <w:rPr>
                <w:rFonts w:cstheme="minorHAnsi"/>
                <w:b/>
              </w:rPr>
              <w:t>§</w:t>
            </w:r>
            <w:r w:rsidRPr="00223E2D">
              <w:rPr>
                <w:rFonts w:cstheme="minorHAnsi"/>
                <w:b/>
              </w:rPr>
              <w:t xml:space="preserve"> 914.1-914.8, </w:t>
            </w:r>
            <w:r w:rsidR="00F666A1">
              <w:rPr>
                <w:rFonts w:cstheme="minorHAnsi"/>
                <w:b/>
              </w:rPr>
              <w:t xml:space="preserve">&amp; </w:t>
            </w:r>
            <w:r w:rsidRPr="00223E2D">
              <w:rPr>
                <w:rFonts w:cstheme="minorHAnsi"/>
                <w:b/>
              </w:rPr>
              <w:t xml:space="preserve">934.1-934.8, </w:t>
            </w:r>
            <w:r w:rsidR="00F666A1">
              <w:rPr>
                <w:rFonts w:cstheme="minorHAnsi"/>
                <w:b/>
              </w:rPr>
              <w:t xml:space="preserve">&amp; </w:t>
            </w:r>
            <w:r w:rsidRPr="00223E2D">
              <w:rPr>
                <w:rFonts w:cstheme="minorHAnsi"/>
                <w:b/>
              </w:rPr>
              <w:t xml:space="preserve">954.1-954.8. </w:t>
            </w:r>
          </w:p>
        </w:tc>
      </w:tr>
    </w:tbl>
    <w:p w14:paraId="376896A9" w14:textId="77777777" w:rsidR="003501D2" w:rsidRPr="00223E2D" w:rsidRDefault="003501D2" w:rsidP="00C360B4">
      <w:pPr>
        <w:spacing w:line="20" w:lineRule="atLeast"/>
        <w:rPr>
          <w:rFonts w:cstheme="minorHAnsi"/>
          <w:b/>
          <w:bCs/>
          <w:u w:val="single"/>
        </w:rPr>
      </w:pPr>
    </w:p>
    <w:p w14:paraId="4F70BFD0" w14:textId="57B0DF05" w:rsidR="00816B14" w:rsidRPr="00223E2D" w:rsidRDefault="00816B14" w:rsidP="00C360B4">
      <w:pPr>
        <w:spacing w:line="20" w:lineRule="atLeast"/>
        <w:rPr>
          <w:rFonts w:cstheme="minorHAnsi"/>
          <w:b/>
          <w:bCs/>
          <w:u w:val="single"/>
        </w:rPr>
      </w:pPr>
      <w:r w:rsidRPr="00223E2D">
        <w:rPr>
          <w:rFonts w:cstheme="minorHAnsi"/>
          <w:b/>
          <w:bCs/>
          <w:u w:val="single"/>
        </w:rPr>
        <w:t>ITEM #21 GROUND BASED EQUIPMENT</w:t>
      </w:r>
      <w:r w:rsidRPr="00223E2D">
        <w:rPr>
          <w:rFonts w:cstheme="minorHAnsi"/>
          <w:b/>
          <w:bCs/>
        </w:rPr>
        <w:t xml:space="preserve"> </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85"/>
        <w:gridCol w:w="8175"/>
      </w:tblGrid>
      <w:tr w:rsidR="003501D2" w:rsidRPr="00223E2D" w14:paraId="3DC420DD" w14:textId="77777777" w:rsidTr="00383E89">
        <w:trPr>
          <w:trHeight w:val="359"/>
        </w:trPr>
        <w:tc>
          <w:tcPr>
            <w:tcW w:w="10060" w:type="dxa"/>
            <w:gridSpan w:val="2"/>
            <w:vAlign w:val="center"/>
          </w:tcPr>
          <w:p w14:paraId="6C316387" w14:textId="74BCACC8" w:rsidR="003501D2" w:rsidRPr="00223E2D" w:rsidRDefault="003501D2" w:rsidP="00C360B4">
            <w:pPr>
              <w:spacing w:line="20" w:lineRule="atLeast"/>
              <w:rPr>
                <w:rFonts w:cstheme="minorHAnsi"/>
                <w:b/>
                <w:bCs/>
              </w:rPr>
            </w:pPr>
            <w:r w:rsidRPr="00223E2D">
              <w:rPr>
                <w:rFonts w:cstheme="minorHAnsi"/>
              </w:rPr>
              <w:t>[ref. 14 CCR 14 CCR § 914.2 [934.2, 954.2](a</w:t>
            </w:r>
            <w:r w:rsidR="00F666A1">
              <w:rPr>
                <w:rFonts w:cstheme="minorHAnsi"/>
              </w:rPr>
              <w:t>)</w:t>
            </w:r>
            <w:r w:rsidRPr="00223E2D">
              <w:rPr>
                <w:rFonts w:cstheme="minorHAnsi"/>
              </w:rPr>
              <w:t>‐</w:t>
            </w:r>
            <w:r w:rsidR="00F666A1">
              <w:rPr>
                <w:rFonts w:cstheme="minorHAnsi"/>
              </w:rPr>
              <w:t>(</w:t>
            </w:r>
            <w:r w:rsidRPr="00223E2D">
              <w:rPr>
                <w:rFonts w:cstheme="minorHAnsi"/>
              </w:rPr>
              <w:t>i)]</w:t>
            </w:r>
          </w:p>
        </w:tc>
      </w:tr>
      <w:tr w:rsidR="00F37F0B" w:rsidRPr="00223E2D" w14:paraId="533736E2" w14:textId="77777777" w:rsidTr="00383E89">
        <w:trPr>
          <w:trHeight w:val="1970"/>
        </w:trPr>
        <w:tc>
          <w:tcPr>
            <w:tcW w:w="10060" w:type="dxa"/>
            <w:gridSpan w:val="2"/>
          </w:tcPr>
          <w:p w14:paraId="22207BB9" w14:textId="1C5620E6" w:rsidR="00F37F0B" w:rsidRPr="00223E2D" w:rsidRDefault="00F37F0B" w:rsidP="003501D2">
            <w:pPr>
              <w:spacing w:line="18" w:lineRule="atLeast"/>
              <w:contextualSpacing/>
              <w:rPr>
                <w:rFonts w:cstheme="minorHAnsi"/>
                <w:b/>
                <w:bCs/>
              </w:rPr>
            </w:pPr>
            <w:r w:rsidRPr="00223E2D">
              <w:rPr>
                <w:rFonts w:cstheme="minorHAnsi"/>
                <w:b/>
                <w:bCs/>
              </w:rPr>
              <w:t>ASP NOTE: per 14 CCR § 916.9 (k)(1) – Year-around tractor road limitations, Tractor roads shall not be used when operations may result in significant sediment discharge and (m)  Tractor Road Drainage Facility Installation - All tractor roads shall have drainage and/or drainage collection and storage facilities installed as soon as practical following yarding and prior to either (1) the start of any rain which causes overland flow across or along the disturbed surface within a WLPZ or within any ELZ or EEZ designated for watercourse or lake protection, or (2) any day with a National Weather Service forecast of a chance of rain of 30 percent or more, a flash flood warning, or a flash flood watch.</w:t>
            </w:r>
          </w:p>
        </w:tc>
      </w:tr>
      <w:tr w:rsidR="00F37F0B" w:rsidRPr="00223E2D" w14:paraId="385E607D" w14:textId="77777777" w:rsidTr="00383E89">
        <w:trPr>
          <w:trHeight w:val="350"/>
        </w:trPr>
        <w:tc>
          <w:tcPr>
            <w:tcW w:w="10060" w:type="dxa"/>
            <w:gridSpan w:val="2"/>
            <w:vAlign w:val="center"/>
          </w:tcPr>
          <w:p w14:paraId="4B55DF25" w14:textId="28CB1617" w:rsidR="00F37F0B" w:rsidRPr="00223E2D" w:rsidRDefault="00F37F0B" w:rsidP="00C360B4">
            <w:pPr>
              <w:spacing w:line="20" w:lineRule="atLeast"/>
              <w:rPr>
                <w:rFonts w:cstheme="minorHAnsi"/>
                <w:b/>
                <w:bCs/>
              </w:rPr>
            </w:pPr>
            <w:r w:rsidRPr="00223E2D">
              <w:rPr>
                <w:rFonts w:cstheme="minorHAnsi"/>
                <w:b/>
                <w:bCs/>
              </w:rPr>
              <w:t>Will ground-based equipment be used on:</w:t>
            </w:r>
          </w:p>
        </w:tc>
      </w:tr>
      <w:tr w:rsidR="00F37F0B" w:rsidRPr="00223E2D" w14:paraId="298C6504" w14:textId="77777777" w:rsidTr="00383E89">
        <w:tc>
          <w:tcPr>
            <w:tcW w:w="1885" w:type="dxa"/>
          </w:tcPr>
          <w:p w14:paraId="1BCEAD2B" w14:textId="59A23841" w:rsidR="00F37F0B" w:rsidRPr="00223E2D" w:rsidRDefault="00F37F0B" w:rsidP="00223E2D">
            <w:pPr>
              <w:pStyle w:val="ListParagraph"/>
              <w:numPr>
                <w:ilvl w:val="0"/>
                <w:numId w:val="4"/>
              </w:numPr>
              <w:spacing w:line="20" w:lineRule="atLeast"/>
              <w:ind w:left="245" w:hanging="245"/>
              <w:rPr>
                <w:rFonts w:cstheme="minorHAnsi"/>
                <w:b/>
                <w:bCs/>
              </w:rPr>
            </w:pPr>
            <w:r w:rsidRPr="00223E2D">
              <w:rPr>
                <w:rFonts w:cstheme="minorHAnsi"/>
              </w:rPr>
              <w:t>[</w:t>
            </w:r>
            <w:sdt>
              <w:sdtPr>
                <w:rPr>
                  <w:rFonts w:eastAsia="MS Gothic" w:cstheme="minorHAnsi"/>
                  <w:b/>
                </w:rPr>
                <w:id w:val="477727917"/>
                <w14:checkbox>
                  <w14:checked w14:val="0"/>
                  <w14:checkedState w14:val="0058" w14:font="Arial Black"/>
                  <w14:uncheckedState w14:val="2610" w14:font="MS Gothic"/>
                </w14:checkbox>
              </w:sdtPr>
              <w:sdtEndPr/>
              <w:sdtContent>
                <w:r w:rsidRPr="00223E2D">
                  <w:rPr>
                    <w:rFonts w:ascii="Segoe UI Symbol" w:eastAsia="MS Gothic" w:hAnsi="Segoe UI Symbol" w:cs="Segoe UI Symbol"/>
                    <w:b/>
                  </w:rPr>
                  <w:t>☐</w:t>
                </w:r>
              </w:sdtContent>
            </w:sdt>
            <w:r w:rsidRPr="00223E2D">
              <w:rPr>
                <w:rFonts w:cstheme="minorHAnsi"/>
              </w:rPr>
              <w:t>]Yes</w:t>
            </w:r>
            <w:r w:rsidR="00372C5E" w:rsidRPr="00223E2D">
              <w:rPr>
                <w:rFonts w:cstheme="minorHAnsi"/>
              </w:rPr>
              <w:t xml:space="preserve"> </w:t>
            </w:r>
            <w:r w:rsidRPr="00223E2D">
              <w:rPr>
                <w:rFonts w:cstheme="minorHAnsi"/>
              </w:rPr>
              <w:t xml:space="preserve"> [</w:t>
            </w:r>
            <w:sdt>
              <w:sdtPr>
                <w:rPr>
                  <w:rFonts w:eastAsia="MS Gothic" w:cstheme="minorHAnsi"/>
                  <w:b/>
                </w:rPr>
                <w:id w:val="413590143"/>
                <w14:checkbox>
                  <w14:checked w14:val="0"/>
                  <w14:checkedState w14:val="0058" w14:font="Arial Black"/>
                  <w14:uncheckedState w14:val="2610" w14:font="MS Gothic"/>
                </w14:checkbox>
              </w:sdtPr>
              <w:sdtEndPr/>
              <w:sdtContent>
                <w:r w:rsidRPr="00223E2D">
                  <w:rPr>
                    <w:rFonts w:ascii="Segoe UI Symbol" w:eastAsia="MS Gothic" w:hAnsi="Segoe UI Symbol" w:cs="Segoe UI Symbol"/>
                    <w:b/>
                  </w:rPr>
                  <w:t>☐</w:t>
                </w:r>
              </w:sdtContent>
            </w:sdt>
            <w:r w:rsidRPr="00223E2D">
              <w:rPr>
                <w:rFonts w:cstheme="minorHAnsi"/>
              </w:rPr>
              <w:t>]No</w:t>
            </w:r>
          </w:p>
        </w:tc>
        <w:tc>
          <w:tcPr>
            <w:tcW w:w="8175" w:type="dxa"/>
          </w:tcPr>
          <w:p w14:paraId="0C448990" w14:textId="45423A47" w:rsidR="00F37F0B" w:rsidRPr="00223E2D" w:rsidRDefault="00F37F0B" w:rsidP="00C360B4">
            <w:pPr>
              <w:spacing w:after="120" w:line="20" w:lineRule="atLeast"/>
              <w:rPr>
                <w:rFonts w:cstheme="minorHAnsi"/>
              </w:rPr>
            </w:pPr>
            <w:r w:rsidRPr="00223E2D">
              <w:rPr>
                <w:rFonts w:cstheme="minorHAnsi"/>
              </w:rPr>
              <w:t>Unstable areas? (Only allowed if unavoidable)</w:t>
            </w:r>
          </w:p>
          <w:p w14:paraId="667B76E0" w14:textId="3C5E1C60" w:rsidR="00F37F0B" w:rsidRPr="00223E2D" w:rsidRDefault="00F37F0B" w:rsidP="00C360B4">
            <w:pPr>
              <w:spacing w:after="120" w:line="20" w:lineRule="atLeast"/>
              <w:rPr>
                <w:rFonts w:cstheme="minorHAnsi"/>
                <w:b/>
                <w:bCs/>
              </w:rPr>
            </w:pPr>
            <w:r w:rsidRPr="00223E2D">
              <w:rPr>
                <w:rFonts w:cstheme="minorHAnsi"/>
                <w:b/>
              </w:rPr>
              <w:t xml:space="preserve">If “Yes” the RPF </w:t>
            </w:r>
            <w:r w:rsidRPr="00223E2D">
              <w:rPr>
                <w:rFonts w:cstheme="minorHAnsi"/>
                <w:b/>
                <w:u w:val="single"/>
              </w:rPr>
              <w:t>shall</w:t>
            </w:r>
            <w:r w:rsidRPr="00223E2D">
              <w:rPr>
                <w:rFonts w:cstheme="minorHAnsi"/>
                <w:b/>
              </w:rPr>
              <w:t xml:space="preserve"> develop specific measures to minimize the effect of operations on slope stability.  Provide site specific instructions to the LTO in SECTION II and provide the required explanation and justification in SECTION III.</w:t>
            </w:r>
          </w:p>
        </w:tc>
      </w:tr>
      <w:tr w:rsidR="00F37F0B" w:rsidRPr="00223E2D" w14:paraId="2B480207" w14:textId="77777777" w:rsidTr="00383E89">
        <w:tc>
          <w:tcPr>
            <w:tcW w:w="1885" w:type="dxa"/>
          </w:tcPr>
          <w:p w14:paraId="0524818B" w14:textId="0DB52629" w:rsidR="00F37F0B" w:rsidRPr="00223E2D" w:rsidRDefault="00C360B4" w:rsidP="00C360B4">
            <w:pPr>
              <w:spacing w:line="20" w:lineRule="atLeast"/>
              <w:rPr>
                <w:rFonts w:cstheme="minorHAnsi"/>
                <w:b/>
                <w:bCs/>
              </w:rPr>
            </w:pPr>
            <w:r w:rsidRPr="00223E2D">
              <w:rPr>
                <w:rFonts w:cstheme="minorHAnsi"/>
                <w:b/>
                <w:bCs/>
              </w:rPr>
              <w:t>b.</w:t>
            </w:r>
            <w:r w:rsidR="00372C5E" w:rsidRPr="00223E2D">
              <w:rPr>
                <w:rFonts w:cstheme="minorHAnsi"/>
                <w:b/>
                <w:bCs/>
              </w:rPr>
              <w:t xml:space="preserve"> </w:t>
            </w:r>
            <w:r w:rsidR="00372C5E" w:rsidRPr="00223E2D">
              <w:rPr>
                <w:rFonts w:cstheme="minorHAnsi"/>
              </w:rPr>
              <w:t>[</w:t>
            </w:r>
            <w:sdt>
              <w:sdtPr>
                <w:rPr>
                  <w:rFonts w:eastAsia="MS Gothic" w:cstheme="minorHAnsi"/>
                  <w:b/>
                </w:rPr>
                <w:id w:val="1278212950"/>
                <w14:checkbox>
                  <w14:checked w14:val="0"/>
                  <w14:checkedState w14:val="0058" w14:font="Arial Black"/>
                  <w14:uncheckedState w14:val="2610" w14:font="MS Gothic"/>
                </w14:checkbox>
              </w:sdtPr>
              <w:sdtEndPr/>
              <w:sdtContent>
                <w:r w:rsidR="00372C5E" w:rsidRPr="00223E2D">
                  <w:rPr>
                    <w:rFonts w:ascii="Segoe UI Symbol" w:eastAsia="MS Gothic" w:hAnsi="Segoe UI Symbol" w:cs="Segoe UI Symbol"/>
                    <w:b/>
                  </w:rPr>
                  <w:t>☐</w:t>
                </w:r>
              </w:sdtContent>
            </w:sdt>
            <w:r w:rsidR="00372C5E" w:rsidRPr="00223E2D">
              <w:rPr>
                <w:rFonts w:cstheme="minorHAnsi"/>
              </w:rPr>
              <w:t>]Yes  [</w:t>
            </w:r>
            <w:sdt>
              <w:sdtPr>
                <w:rPr>
                  <w:rFonts w:eastAsia="MS Gothic" w:cstheme="minorHAnsi"/>
                  <w:b/>
                </w:rPr>
                <w:id w:val="-2117127086"/>
                <w14:checkbox>
                  <w14:checked w14:val="0"/>
                  <w14:checkedState w14:val="0058" w14:font="Arial Black"/>
                  <w14:uncheckedState w14:val="2610" w14:font="MS Gothic"/>
                </w14:checkbox>
              </w:sdtPr>
              <w:sdtEndPr/>
              <w:sdtContent>
                <w:r w:rsidR="00372C5E" w:rsidRPr="00223E2D">
                  <w:rPr>
                    <w:rFonts w:ascii="Segoe UI Symbol" w:eastAsia="MS Gothic" w:hAnsi="Segoe UI Symbol" w:cs="Segoe UI Symbol"/>
                    <w:b/>
                  </w:rPr>
                  <w:t>☐</w:t>
                </w:r>
              </w:sdtContent>
            </w:sdt>
            <w:r w:rsidR="00372C5E" w:rsidRPr="00223E2D">
              <w:rPr>
                <w:rFonts w:cstheme="minorHAnsi"/>
              </w:rPr>
              <w:t>]No</w:t>
            </w:r>
          </w:p>
        </w:tc>
        <w:tc>
          <w:tcPr>
            <w:tcW w:w="8175" w:type="dxa"/>
          </w:tcPr>
          <w:p w14:paraId="4109C2BC" w14:textId="77777777" w:rsidR="00F37F0B" w:rsidRPr="00223E2D" w:rsidRDefault="00F37F0B" w:rsidP="00C360B4">
            <w:pPr>
              <w:spacing w:after="120" w:line="20" w:lineRule="atLeast"/>
              <w:rPr>
                <w:rFonts w:cstheme="minorHAnsi"/>
              </w:rPr>
            </w:pPr>
            <w:r w:rsidRPr="00223E2D">
              <w:rPr>
                <w:rFonts w:cstheme="minorHAnsi"/>
              </w:rPr>
              <w:t>Slopes steeper than 65%</w:t>
            </w:r>
          </w:p>
          <w:p w14:paraId="648A5E14" w14:textId="781D1E87" w:rsidR="00F37F0B" w:rsidRPr="00223E2D" w:rsidRDefault="00F37F0B" w:rsidP="00C360B4">
            <w:pPr>
              <w:spacing w:after="120" w:line="20" w:lineRule="atLeast"/>
              <w:rPr>
                <w:rFonts w:cstheme="minorHAnsi"/>
                <w:b/>
              </w:rPr>
            </w:pPr>
            <w:r w:rsidRPr="00223E2D">
              <w:rPr>
                <w:rFonts w:cstheme="minorHAnsi"/>
                <w:b/>
              </w:rPr>
              <w:t>If “Yes” provide site specific instructions to the LTO in SECTION II and provide the required explanation and justification in SECTION III.</w:t>
            </w:r>
          </w:p>
        </w:tc>
      </w:tr>
      <w:tr w:rsidR="00F37F0B" w:rsidRPr="00223E2D" w14:paraId="15492681" w14:textId="77777777" w:rsidTr="00383E89">
        <w:tc>
          <w:tcPr>
            <w:tcW w:w="1885" w:type="dxa"/>
          </w:tcPr>
          <w:p w14:paraId="5F9C64F9" w14:textId="77777777" w:rsidR="00F37F0B" w:rsidRDefault="00C360B4" w:rsidP="00C360B4">
            <w:pPr>
              <w:spacing w:line="20" w:lineRule="atLeast"/>
              <w:rPr>
                <w:rFonts w:cstheme="minorHAnsi"/>
              </w:rPr>
            </w:pPr>
            <w:r w:rsidRPr="00223E2D">
              <w:rPr>
                <w:rFonts w:cstheme="minorHAnsi"/>
                <w:b/>
                <w:bCs/>
              </w:rPr>
              <w:t>c</w:t>
            </w:r>
            <w:r w:rsidR="00372C5E" w:rsidRPr="00223E2D">
              <w:rPr>
                <w:rFonts w:cstheme="minorHAnsi"/>
                <w:b/>
                <w:bCs/>
              </w:rPr>
              <w:t>.</w:t>
            </w:r>
            <w:r w:rsidR="00372C5E" w:rsidRPr="00223E2D">
              <w:rPr>
                <w:rFonts w:cstheme="minorHAnsi"/>
              </w:rPr>
              <w:t xml:space="preserve"> [</w:t>
            </w:r>
            <w:sdt>
              <w:sdtPr>
                <w:rPr>
                  <w:rFonts w:eastAsia="MS Gothic" w:cstheme="minorHAnsi"/>
                  <w:b/>
                </w:rPr>
                <w:id w:val="-471439406"/>
                <w14:checkbox>
                  <w14:checked w14:val="0"/>
                  <w14:checkedState w14:val="0058" w14:font="Arial Black"/>
                  <w14:uncheckedState w14:val="2610" w14:font="MS Gothic"/>
                </w14:checkbox>
              </w:sdtPr>
              <w:sdtEndPr/>
              <w:sdtContent>
                <w:r w:rsidR="00372C5E" w:rsidRPr="00223E2D">
                  <w:rPr>
                    <w:rFonts w:ascii="Segoe UI Symbol" w:eastAsia="MS Gothic" w:hAnsi="Segoe UI Symbol" w:cs="Segoe UI Symbol"/>
                    <w:b/>
                  </w:rPr>
                  <w:t>☐</w:t>
                </w:r>
              </w:sdtContent>
            </w:sdt>
            <w:r w:rsidR="00372C5E" w:rsidRPr="00223E2D">
              <w:rPr>
                <w:rFonts w:cstheme="minorHAnsi"/>
              </w:rPr>
              <w:t>]Yes  [</w:t>
            </w:r>
            <w:sdt>
              <w:sdtPr>
                <w:rPr>
                  <w:rFonts w:eastAsia="MS Gothic" w:cstheme="minorHAnsi"/>
                  <w:b/>
                </w:rPr>
                <w:id w:val="972032151"/>
                <w14:checkbox>
                  <w14:checked w14:val="0"/>
                  <w14:checkedState w14:val="0058" w14:font="Arial Black"/>
                  <w14:uncheckedState w14:val="2610" w14:font="MS Gothic"/>
                </w14:checkbox>
              </w:sdtPr>
              <w:sdtEndPr/>
              <w:sdtContent>
                <w:r w:rsidR="00372C5E" w:rsidRPr="00223E2D">
                  <w:rPr>
                    <w:rFonts w:ascii="Segoe UI Symbol" w:eastAsia="MS Gothic" w:hAnsi="Segoe UI Symbol" w:cs="Segoe UI Symbol"/>
                    <w:b/>
                  </w:rPr>
                  <w:t>☐</w:t>
                </w:r>
              </w:sdtContent>
            </w:sdt>
            <w:r w:rsidR="00372C5E" w:rsidRPr="00223E2D">
              <w:rPr>
                <w:rFonts w:cstheme="minorHAnsi"/>
              </w:rPr>
              <w:t>]No</w:t>
            </w:r>
          </w:p>
          <w:p w14:paraId="163F6C57" w14:textId="77777777" w:rsidR="009F22B9" w:rsidRPr="009F22B9" w:rsidRDefault="009F22B9" w:rsidP="009F22B9">
            <w:pPr>
              <w:rPr>
                <w:rFonts w:cstheme="minorHAnsi"/>
              </w:rPr>
            </w:pPr>
          </w:p>
          <w:p w14:paraId="23F6CCB1" w14:textId="77777777" w:rsidR="009F22B9" w:rsidRDefault="009F22B9" w:rsidP="009F22B9">
            <w:pPr>
              <w:rPr>
                <w:rFonts w:cstheme="minorHAnsi"/>
              </w:rPr>
            </w:pPr>
          </w:p>
          <w:p w14:paraId="75C38708" w14:textId="4E1761B1" w:rsidR="009F22B9" w:rsidRPr="009F22B9" w:rsidRDefault="009F22B9" w:rsidP="009F22B9">
            <w:pPr>
              <w:tabs>
                <w:tab w:val="left" w:pos="1633"/>
              </w:tabs>
              <w:rPr>
                <w:rFonts w:cstheme="minorHAnsi"/>
              </w:rPr>
            </w:pPr>
            <w:r>
              <w:rPr>
                <w:rFonts w:cstheme="minorHAnsi"/>
              </w:rPr>
              <w:tab/>
            </w:r>
          </w:p>
        </w:tc>
        <w:tc>
          <w:tcPr>
            <w:tcW w:w="8175" w:type="dxa"/>
          </w:tcPr>
          <w:p w14:paraId="21EC4CC4" w14:textId="21B374E2" w:rsidR="00F37F0B" w:rsidRPr="00223E2D" w:rsidRDefault="00F37F0B" w:rsidP="00C360B4">
            <w:pPr>
              <w:spacing w:after="120" w:line="20" w:lineRule="atLeast"/>
              <w:rPr>
                <w:rFonts w:cstheme="minorHAnsi"/>
                <w:b/>
              </w:rPr>
            </w:pPr>
            <w:r w:rsidRPr="00223E2D">
              <w:rPr>
                <w:rFonts w:cstheme="minorHAnsi"/>
              </w:rPr>
              <w:t xml:space="preserve">Slopes steeper than 50% where the erosion hazard rating (EHR) is </w:t>
            </w:r>
            <w:r w:rsidRPr="00223E2D">
              <w:rPr>
                <w:rFonts w:cstheme="minorHAnsi"/>
                <w:u w:val="single"/>
              </w:rPr>
              <w:t>High</w:t>
            </w:r>
            <w:r w:rsidRPr="00223E2D">
              <w:rPr>
                <w:rFonts w:cstheme="minorHAnsi"/>
              </w:rPr>
              <w:t xml:space="preserve"> or </w:t>
            </w:r>
            <w:r w:rsidRPr="00223E2D">
              <w:rPr>
                <w:rFonts w:cstheme="minorHAnsi"/>
                <w:u w:val="single"/>
              </w:rPr>
              <w:t>Extreme</w:t>
            </w:r>
            <w:r w:rsidRPr="00223E2D">
              <w:rPr>
                <w:rFonts w:cstheme="minorHAnsi"/>
                <w:b/>
              </w:rPr>
              <w:t>.</w:t>
            </w:r>
          </w:p>
          <w:p w14:paraId="69204021" w14:textId="0F9C3EAD" w:rsidR="00F37F0B" w:rsidRPr="00223E2D" w:rsidRDefault="00F37F0B" w:rsidP="00C360B4">
            <w:pPr>
              <w:spacing w:after="120" w:line="20" w:lineRule="atLeast"/>
              <w:rPr>
                <w:rFonts w:cstheme="minorHAnsi"/>
                <w:b/>
              </w:rPr>
            </w:pPr>
            <w:r w:rsidRPr="00223E2D">
              <w:rPr>
                <w:rFonts w:cstheme="minorHAnsi"/>
                <w:b/>
              </w:rPr>
              <w:t>If “Yes” provide site specific instructions to the LTO in SECTION II and provide the required explanation and justification in SECTION III.</w:t>
            </w:r>
          </w:p>
        </w:tc>
      </w:tr>
      <w:tr w:rsidR="00F37F0B" w:rsidRPr="00223E2D" w14:paraId="42F8A2F7" w14:textId="77777777" w:rsidTr="00383E89">
        <w:tc>
          <w:tcPr>
            <w:tcW w:w="1885" w:type="dxa"/>
          </w:tcPr>
          <w:p w14:paraId="69D0ACDE" w14:textId="298FE12A" w:rsidR="00F37F0B" w:rsidRPr="00223E2D" w:rsidRDefault="00C360B4" w:rsidP="00C360B4">
            <w:pPr>
              <w:spacing w:line="20" w:lineRule="atLeast"/>
              <w:rPr>
                <w:rFonts w:cstheme="minorHAnsi"/>
                <w:b/>
              </w:rPr>
            </w:pPr>
            <w:r w:rsidRPr="00223E2D">
              <w:rPr>
                <w:rFonts w:cstheme="minorHAnsi"/>
                <w:b/>
              </w:rPr>
              <w:lastRenderedPageBreak/>
              <w:t>d</w:t>
            </w:r>
            <w:r w:rsidR="00372C5E" w:rsidRPr="00223E2D">
              <w:rPr>
                <w:rFonts w:cstheme="minorHAnsi"/>
                <w:b/>
              </w:rPr>
              <w:t>.</w:t>
            </w:r>
            <w:r w:rsidR="00223E2D">
              <w:rPr>
                <w:rFonts w:cstheme="minorHAnsi"/>
                <w:b/>
              </w:rPr>
              <w:t xml:space="preserve"> </w:t>
            </w:r>
            <w:r w:rsidR="00372C5E" w:rsidRPr="00223E2D">
              <w:rPr>
                <w:rFonts w:cstheme="minorHAnsi"/>
              </w:rPr>
              <w:t>[</w:t>
            </w:r>
            <w:sdt>
              <w:sdtPr>
                <w:rPr>
                  <w:rFonts w:eastAsia="MS Gothic" w:cstheme="minorHAnsi"/>
                  <w:b/>
                </w:rPr>
                <w:id w:val="-628861372"/>
                <w14:checkbox>
                  <w14:checked w14:val="0"/>
                  <w14:checkedState w14:val="0058" w14:font="Arial Black"/>
                  <w14:uncheckedState w14:val="2610" w14:font="MS Gothic"/>
                </w14:checkbox>
              </w:sdtPr>
              <w:sdtEndPr/>
              <w:sdtContent>
                <w:r w:rsidR="00372C5E" w:rsidRPr="00223E2D">
                  <w:rPr>
                    <w:rFonts w:ascii="Segoe UI Symbol" w:eastAsia="MS Gothic" w:hAnsi="Segoe UI Symbol" w:cs="Segoe UI Symbol"/>
                    <w:b/>
                  </w:rPr>
                  <w:t>☐</w:t>
                </w:r>
              </w:sdtContent>
            </w:sdt>
            <w:r w:rsidR="00372C5E" w:rsidRPr="00223E2D">
              <w:rPr>
                <w:rFonts w:cstheme="minorHAnsi"/>
              </w:rPr>
              <w:t>]Yes  [</w:t>
            </w:r>
            <w:sdt>
              <w:sdtPr>
                <w:rPr>
                  <w:rFonts w:eastAsia="MS Gothic" w:cstheme="minorHAnsi"/>
                  <w:b/>
                </w:rPr>
                <w:id w:val="-946693439"/>
                <w14:checkbox>
                  <w14:checked w14:val="0"/>
                  <w14:checkedState w14:val="0058" w14:font="Arial Black"/>
                  <w14:uncheckedState w14:val="2610" w14:font="MS Gothic"/>
                </w14:checkbox>
              </w:sdtPr>
              <w:sdtEndPr/>
              <w:sdtContent>
                <w:r w:rsidR="00372C5E" w:rsidRPr="00223E2D">
                  <w:rPr>
                    <w:rFonts w:ascii="Segoe UI Symbol" w:eastAsia="MS Gothic" w:hAnsi="Segoe UI Symbol" w:cs="Segoe UI Symbol"/>
                    <w:b/>
                  </w:rPr>
                  <w:t>☐</w:t>
                </w:r>
              </w:sdtContent>
            </w:sdt>
            <w:r w:rsidR="00372C5E" w:rsidRPr="00223E2D">
              <w:rPr>
                <w:rFonts w:cstheme="minorHAnsi"/>
              </w:rPr>
              <w:t>]No</w:t>
            </w:r>
          </w:p>
          <w:p w14:paraId="0584AE63" w14:textId="77777777" w:rsidR="00F37F0B" w:rsidRPr="00223E2D" w:rsidRDefault="00F37F0B" w:rsidP="00C360B4">
            <w:pPr>
              <w:spacing w:line="20" w:lineRule="atLeast"/>
              <w:jc w:val="right"/>
              <w:rPr>
                <w:rFonts w:cstheme="minorHAnsi"/>
                <w:shd w:val="clear" w:color="auto" w:fill="F2F2F2" w:themeFill="background1" w:themeFillShade="F2"/>
              </w:rPr>
            </w:pPr>
            <w:r w:rsidRPr="00223E2D">
              <w:rPr>
                <w:rFonts w:cstheme="minorHAnsi"/>
              </w:rPr>
              <w:t xml:space="preserve"> </w:t>
            </w:r>
          </w:p>
          <w:p w14:paraId="4E22ACC8" w14:textId="77777777" w:rsidR="00F37F0B" w:rsidRPr="00223E2D" w:rsidRDefault="00F37F0B" w:rsidP="00C360B4">
            <w:pPr>
              <w:spacing w:line="20" w:lineRule="atLeast"/>
              <w:jc w:val="right"/>
              <w:rPr>
                <w:rFonts w:cstheme="minorHAnsi"/>
                <w:shd w:val="clear" w:color="auto" w:fill="F2F2F2" w:themeFill="background1" w:themeFillShade="F2"/>
              </w:rPr>
            </w:pPr>
          </w:p>
          <w:p w14:paraId="234B63ED" w14:textId="77777777" w:rsidR="00F37F0B" w:rsidRPr="00223E2D" w:rsidRDefault="00F37F0B" w:rsidP="00C360B4">
            <w:pPr>
              <w:spacing w:line="20" w:lineRule="atLeast"/>
              <w:jc w:val="right"/>
              <w:rPr>
                <w:rFonts w:cstheme="minorHAnsi"/>
                <w:shd w:val="clear" w:color="auto" w:fill="F2F2F2" w:themeFill="background1" w:themeFillShade="F2"/>
              </w:rPr>
            </w:pPr>
            <w:r w:rsidRPr="00223E2D">
              <w:rPr>
                <w:rFonts w:cstheme="minorHAnsi"/>
              </w:rPr>
              <w:t xml:space="preserve"> </w:t>
            </w:r>
          </w:p>
          <w:p w14:paraId="1E454AD3" w14:textId="77777777" w:rsidR="00F37F0B" w:rsidRPr="00223E2D" w:rsidRDefault="00F37F0B" w:rsidP="00C360B4">
            <w:pPr>
              <w:spacing w:line="20" w:lineRule="atLeast"/>
              <w:jc w:val="right"/>
              <w:rPr>
                <w:rFonts w:cstheme="minorHAnsi"/>
                <w:shd w:val="clear" w:color="auto" w:fill="F2F2F2" w:themeFill="background1" w:themeFillShade="F2"/>
              </w:rPr>
            </w:pPr>
          </w:p>
          <w:p w14:paraId="63543E51" w14:textId="77777777" w:rsidR="00F37F0B" w:rsidRPr="00223E2D" w:rsidRDefault="00F37F0B" w:rsidP="00C360B4">
            <w:pPr>
              <w:spacing w:line="20" w:lineRule="atLeast"/>
              <w:jc w:val="right"/>
              <w:rPr>
                <w:rFonts w:cstheme="minorHAnsi"/>
                <w:shd w:val="clear" w:color="auto" w:fill="F2F2F2" w:themeFill="background1" w:themeFillShade="F2"/>
              </w:rPr>
            </w:pPr>
          </w:p>
          <w:p w14:paraId="17B39EEE" w14:textId="77777777" w:rsidR="00F37F0B" w:rsidRPr="00223E2D" w:rsidRDefault="00F37F0B" w:rsidP="00C360B4">
            <w:pPr>
              <w:spacing w:line="20" w:lineRule="atLeast"/>
              <w:rPr>
                <w:rFonts w:cstheme="minorHAnsi"/>
                <w:b/>
                <w:bCs/>
              </w:rPr>
            </w:pPr>
          </w:p>
        </w:tc>
        <w:tc>
          <w:tcPr>
            <w:tcW w:w="8175" w:type="dxa"/>
          </w:tcPr>
          <w:p w14:paraId="31E79613" w14:textId="4444FC05" w:rsidR="00F37F0B" w:rsidRPr="00223E2D" w:rsidRDefault="00F37F0B" w:rsidP="00C360B4">
            <w:pPr>
              <w:spacing w:after="120" w:line="20" w:lineRule="atLeast"/>
              <w:rPr>
                <w:rFonts w:cstheme="minorHAnsi"/>
              </w:rPr>
            </w:pPr>
            <w:r w:rsidRPr="00223E2D">
              <w:rPr>
                <w:rFonts w:cstheme="minorHAnsi"/>
              </w:rPr>
              <w:t xml:space="preserve">Slopes between 50% and 65% with a </w:t>
            </w:r>
            <w:r w:rsidRPr="00223E2D">
              <w:rPr>
                <w:rFonts w:cstheme="minorHAnsi"/>
                <w:u w:val="single"/>
              </w:rPr>
              <w:t>Moderate</w:t>
            </w:r>
            <w:r w:rsidRPr="00223E2D">
              <w:rPr>
                <w:rFonts w:cstheme="minorHAnsi"/>
              </w:rPr>
              <w:t xml:space="preserve"> EHR at: (percentage based on average slope on sample areas of 20 acres)?</w:t>
            </w:r>
          </w:p>
          <w:p w14:paraId="6A8FBB29" w14:textId="5E8FA88F" w:rsidR="00C360B4" w:rsidRPr="00223E2D" w:rsidRDefault="00383E89" w:rsidP="00C360B4">
            <w:pPr>
              <w:spacing w:after="120" w:line="20" w:lineRule="atLeast"/>
              <w:rPr>
                <w:rFonts w:cstheme="minorHAnsi"/>
              </w:rPr>
            </w:pPr>
            <w:sdt>
              <w:sdtPr>
                <w:rPr>
                  <w:rFonts w:cstheme="minorHAnsi"/>
                </w:rPr>
                <w:id w:val="1694963194"/>
                <w14:checkbox>
                  <w14:checked w14:val="0"/>
                  <w14:checkedState w14:val="0058" w14:font="Arial Black"/>
                  <w14:uncheckedState w14:val="2610" w14:font="MS Gothic"/>
                </w14:checkbox>
              </w:sdtPr>
              <w:sdtEndPr/>
              <w:sdtContent>
                <w:r w:rsidR="00F37F0B" w:rsidRPr="00223E2D">
                  <w:rPr>
                    <w:rFonts w:ascii="Segoe UI Symbol" w:eastAsia="MS Gothic" w:hAnsi="Segoe UI Symbol" w:cs="Segoe UI Symbol"/>
                  </w:rPr>
                  <w:t>☐</w:t>
                </w:r>
              </w:sdtContent>
            </w:sdt>
            <w:r w:rsidR="00223E2D">
              <w:rPr>
                <w:rFonts w:cstheme="minorHAnsi"/>
              </w:rPr>
              <w:t xml:space="preserve"> </w:t>
            </w:r>
            <w:r w:rsidR="00F37F0B" w:rsidRPr="00223E2D">
              <w:rPr>
                <w:rFonts w:cstheme="minorHAnsi"/>
              </w:rPr>
              <w:t>Existing tractor roads that do not require reconstruction</w:t>
            </w:r>
            <w:r w:rsidR="00C360B4" w:rsidRPr="00223E2D">
              <w:rPr>
                <w:rFonts w:cstheme="minorHAnsi"/>
              </w:rPr>
              <w:t xml:space="preserve">.  </w:t>
            </w:r>
          </w:p>
          <w:p w14:paraId="1C7518EB" w14:textId="54054E0A" w:rsidR="00F37F0B" w:rsidRPr="00223E2D" w:rsidRDefault="00C360B4" w:rsidP="00C360B4">
            <w:pPr>
              <w:spacing w:after="120" w:line="20" w:lineRule="atLeast"/>
              <w:rPr>
                <w:rFonts w:cstheme="minorHAnsi"/>
              </w:rPr>
            </w:pPr>
            <w:r w:rsidRPr="00223E2D">
              <w:rPr>
                <w:rFonts w:cstheme="minorHAnsi"/>
              </w:rPr>
              <w:t>or</w:t>
            </w:r>
          </w:p>
          <w:p w14:paraId="4B1E8ED3" w14:textId="375E1308" w:rsidR="00F37F0B" w:rsidRPr="00223E2D" w:rsidRDefault="00383E89" w:rsidP="00C360B4">
            <w:pPr>
              <w:spacing w:after="120" w:line="20" w:lineRule="atLeast"/>
              <w:rPr>
                <w:rFonts w:cstheme="minorHAnsi"/>
              </w:rPr>
            </w:pPr>
            <w:sdt>
              <w:sdtPr>
                <w:rPr>
                  <w:rFonts w:cstheme="minorHAnsi"/>
                  <w:b/>
                </w:rPr>
                <w:id w:val="-115296693"/>
                <w14:checkbox>
                  <w14:checked w14:val="0"/>
                  <w14:checkedState w14:val="0058" w14:font="Arial Black"/>
                  <w14:uncheckedState w14:val="2610" w14:font="MS Gothic"/>
                </w14:checkbox>
              </w:sdtPr>
              <w:sdtEndPr/>
              <w:sdtContent>
                <w:r w:rsidR="00F37F0B" w:rsidRPr="00223E2D">
                  <w:rPr>
                    <w:rFonts w:ascii="Segoe UI Symbol" w:eastAsia="MS Gothic" w:hAnsi="Segoe UI Symbol" w:cs="Segoe UI Symbol"/>
                    <w:b/>
                  </w:rPr>
                  <w:t>☐</w:t>
                </w:r>
              </w:sdtContent>
            </w:sdt>
            <w:r w:rsidR="00F37F0B" w:rsidRPr="00223E2D">
              <w:rPr>
                <w:rFonts w:cstheme="minorHAnsi"/>
                <w:b/>
              </w:rPr>
              <w:t xml:space="preserve"> </w:t>
            </w:r>
            <w:r w:rsidR="00F37F0B" w:rsidRPr="00223E2D">
              <w:rPr>
                <w:rFonts w:cstheme="minorHAnsi"/>
              </w:rPr>
              <w:t>New tractor roads at a location that has been shown on the THP map, flagged by an RPF or supervised designee prior to the pre-harvest inspection, or prior to the start of timber operations if a PHI was not required.</w:t>
            </w:r>
          </w:p>
          <w:p w14:paraId="60E4C223" w14:textId="6ACA16C4" w:rsidR="00F37F0B" w:rsidRPr="00223E2D" w:rsidRDefault="00F37F0B" w:rsidP="00C360B4">
            <w:pPr>
              <w:spacing w:after="120" w:line="20" w:lineRule="atLeast"/>
              <w:rPr>
                <w:rFonts w:cstheme="minorHAnsi"/>
                <w:b/>
              </w:rPr>
            </w:pPr>
            <w:r w:rsidRPr="00223E2D">
              <w:rPr>
                <w:rFonts w:cstheme="minorHAnsi"/>
                <w:b/>
              </w:rPr>
              <w:t>If “Yes” provide site specific instructions to the LTO in SECTION II.</w:t>
            </w:r>
          </w:p>
        </w:tc>
      </w:tr>
      <w:tr w:rsidR="00F37F0B" w:rsidRPr="00223E2D" w14:paraId="031B26FB" w14:textId="77777777" w:rsidTr="00383E89">
        <w:tc>
          <w:tcPr>
            <w:tcW w:w="1885" w:type="dxa"/>
          </w:tcPr>
          <w:p w14:paraId="1CD9A4C8" w14:textId="2EA2747A" w:rsidR="00F37F0B" w:rsidRPr="00223E2D" w:rsidRDefault="00C360B4" w:rsidP="00C360B4">
            <w:pPr>
              <w:spacing w:line="20" w:lineRule="atLeast"/>
              <w:rPr>
                <w:rFonts w:cstheme="minorHAnsi"/>
                <w:b/>
                <w:bCs/>
              </w:rPr>
            </w:pPr>
            <w:r w:rsidRPr="00223E2D">
              <w:rPr>
                <w:rFonts w:cstheme="minorHAnsi"/>
                <w:b/>
                <w:bCs/>
              </w:rPr>
              <w:t>e</w:t>
            </w:r>
            <w:r w:rsidR="00372C5E" w:rsidRPr="00223E2D">
              <w:rPr>
                <w:rFonts w:cstheme="minorHAnsi"/>
                <w:b/>
                <w:bCs/>
              </w:rPr>
              <w:t xml:space="preserve">. </w:t>
            </w:r>
            <w:r w:rsidR="00372C5E" w:rsidRPr="00223E2D">
              <w:rPr>
                <w:rFonts w:cstheme="minorHAnsi"/>
              </w:rPr>
              <w:t>[</w:t>
            </w:r>
            <w:sdt>
              <w:sdtPr>
                <w:rPr>
                  <w:rFonts w:eastAsia="MS Gothic" w:cstheme="minorHAnsi"/>
                  <w:b/>
                </w:rPr>
                <w:id w:val="-600634022"/>
                <w14:checkbox>
                  <w14:checked w14:val="0"/>
                  <w14:checkedState w14:val="0058" w14:font="Arial Black"/>
                  <w14:uncheckedState w14:val="2610" w14:font="MS Gothic"/>
                </w14:checkbox>
              </w:sdtPr>
              <w:sdtEndPr/>
              <w:sdtContent>
                <w:r w:rsidR="00372C5E" w:rsidRPr="00223E2D">
                  <w:rPr>
                    <w:rFonts w:ascii="Segoe UI Symbol" w:eastAsia="MS Gothic" w:hAnsi="Segoe UI Symbol" w:cs="Segoe UI Symbol"/>
                    <w:b/>
                  </w:rPr>
                  <w:t>☐</w:t>
                </w:r>
              </w:sdtContent>
            </w:sdt>
            <w:r w:rsidR="00372C5E" w:rsidRPr="00223E2D">
              <w:rPr>
                <w:rFonts w:cstheme="minorHAnsi"/>
              </w:rPr>
              <w:t>]Yes  [</w:t>
            </w:r>
            <w:sdt>
              <w:sdtPr>
                <w:rPr>
                  <w:rFonts w:eastAsia="MS Gothic" w:cstheme="minorHAnsi"/>
                  <w:b/>
                </w:rPr>
                <w:id w:val="2114402562"/>
                <w14:checkbox>
                  <w14:checked w14:val="0"/>
                  <w14:checkedState w14:val="0058" w14:font="Arial Black"/>
                  <w14:uncheckedState w14:val="2610" w14:font="MS Gothic"/>
                </w14:checkbox>
              </w:sdtPr>
              <w:sdtEndPr/>
              <w:sdtContent>
                <w:r w:rsidR="00372C5E" w:rsidRPr="00223E2D">
                  <w:rPr>
                    <w:rFonts w:ascii="Segoe UI Symbol" w:eastAsia="MS Gothic" w:hAnsi="Segoe UI Symbol" w:cs="Segoe UI Symbol"/>
                    <w:b/>
                  </w:rPr>
                  <w:t>☐</w:t>
                </w:r>
              </w:sdtContent>
            </w:sdt>
            <w:r w:rsidR="00372C5E" w:rsidRPr="00223E2D">
              <w:rPr>
                <w:rFonts w:cstheme="minorHAnsi"/>
              </w:rPr>
              <w:t>]No</w:t>
            </w:r>
          </w:p>
        </w:tc>
        <w:tc>
          <w:tcPr>
            <w:tcW w:w="8175" w:type="dxa"/>
          </w:tcPr>
          <w:p w14:paraId="35C280BB" w14:textId="77777777" w:rsidR="00F37F0B" w:rsidRPr="00223E2D" w:rsidRDefault="00F37F0B" w:rsidP="00C360B4">
            <w:pPr>
              <w:spacing w:after="120" w:line="20" w:lineRule="atLeast"/>
              <w:rPr>
                <w:rFonts w:cstheme="minorHAnsi"/>
                <w:b/>
              </w:rPr>
            </w:pPr>
            <w:r w:rsidRPr="00223E2D">
              <w:rPr>
                <w:rFonts w:cstheme="minorHAnsi"/>
              </w:rPr>
              <w:t>Slopes over 50% which lead without flattening to sufficiently dissipate water flow and trap sediment before it reaches a watercourse or lake?</w:t>
            </w:r>
          </w:p>
          <w:p w14:paraId="64935470" w14:textId="65D847F9" w:rsidR="00F37F0B" w:rsidRPr="00223E2D" w:rsidRDefault="00F37F0B" w:rsidP="00C360B4">
            <w:pPr>
              <w:spacing w:after="120" w:line="20" w:lineRule="atLeast"/>
              <w:rPr>
                <w:rFonts w:cstheme="minorHAnsi"/>
                <w:b/>
              </w:rPr>
            </w:pPr>
            <w:r w:rsidRPr="00223E2D">
              <w:rPr>
                <w:rFonts w:cstheme="minorHAnsi"/>
                <w:b/>
              </w:rPr>
              <w:t>If “Yes” provide site specific instructions to the LTO in SECTION II and provide the required explanation and justification in SECTION III.</w:t>
            </w:r>
          </w:p>
        </w:tc>
      </w:tr>
      <w:tr w:rsidR="00372C5E" w:rsidRPr="00223E2D" w14:paraId="24E60C54" w14:textId="77777777" w:rsidTr="00383E89">
        <w:trPr>
          <w:trHeight w:val="881"/>
        </w:trPr>
        <w:tc>
          <w:tcPr>
            <w:tcW w:w="10060" w:type="dxa"/>
            <w:gridSpan w:val="2"/>
          </w:tcPr>
          <w:p w14:paraId="39A5B38D" w14:textId="09B5FC00" w:rsidR="00372C5E" w:rsidRPr="00223E2D" w:rsidRDefault="00372C5E" w:rsidP="00C360B4">
            <w:pPr>
              <w:spacing w:line="20" w:lineRule="atLeast"/>
              <w:rPr>
                <w:rFonts w:cstheme="minorHAnsi"/>
                <w:b/>
                <w:bCs/>
              </w:rPr>
            </w:pPr>
            <w:r w:rsidRPr="00223E2D">
              <w:rPr>
                <w:rFonts w:cstheme="minorHAnsi"/>
                <w:b/>
                <w:bCs/>
              </w:rPr>
              <w:t>NOTE: Per 14 CCR 1034(x)(15) all exceptions must be located on a map.  If any question above is answered “Yes” then tractor road locations must be flagged on the ground prior to the PHI or the start of timber operations if a PHI is not required.</w:t>
            </w:r>
          </w:p>
        </w:tc>
      </w:tr>
    </w:tbl>
    <w:p w14:paraId="7943D5AE" w14:textId="77777777" w:rsidR="00F37F0B" w:rsidRDefault="00F37F0B" w:rsidP="00C360B4">
      <w:pPr>
        <w:spacing w:line="20" w:lineRule="atLeast"/>
        <w:rPr>
          <w:rFonts w:cstheme="minorHAnsi"/>
        </w:rPr>
      </w:pPr>
    </w:p>
    <w:p w14:paraId="7716FBD0" w14:textId="6D64F2B6" w:rsidR="00326B7D" w:rsidRDefault="00326B7D" w:rsidP="00326B7D">
      <w:pPr>
        <w:spacing w:line="20" w:lineRule="atLeast"/>
        <w:rPr>
          <w:rFonts w:cstheme="minorHAnsi"/>
          <w:b/>
          <w:bCs/>
          <w:u w:val="single"/>
        </w:rPr>
      </w:pPr>
      <w:r w:rsidRPr="00223E2D">
        <w:rPr>
          <w:rFonts w:cstheme="minorHAnsi"/>
          <w:b/>
          <w:bCs/>
          <w:u w:val="single"/>
        </w:rPr>
        <w:t>ITEM #2</w:t>
      </w:r>
      <w:r>
        <w:rPr>
          <w:rFonts w:cstheme="minorHAnsi"/>
          <w:b/>
          <w:bCs/>
          <w:u w:val="single"/>
        </w:rPr>
        <w:t>2</w:t>
      </w:r>
      <w:r w:rsidRPr="00223E2D">
        <w:rPr>
          <w:rFonts w:cstheme="minorHAnsi"/>
          <w:b/>
          <w:bCs/>
          <w:u w:val="single"/>
        </w:rPr>
        <w:t xml:space="preserve"> </w:t>
      </w:r>
      <w:r w:rsidR="00701158">
        <w:rPr>
          <w:rFonts w:cstheme="minorHAnsi"/>
          <w:b/>
          <w:bCs/>
          <w:u w:val="single"/>
        </w:rPr>
        <w:t>INTENTIONALLY BLANK BY CAL FIRE</w:t>
      </w:r>
    </w:p>
    <w:p w14:paraId="6EA36A16" w14:textId="0A05738F" w:rsidR="00326B7D" w:rsidRPr="00223E2D" w:rsidRDefault="00326B7D" w:rsidP="00326B7D">
      <w:pPr>
        <w:spacing w:line="20" w:lineRule="atLeast"/>
        <w:rPr>
          <w:rFonts w:cstheme="minorHAnsi"/>
          <w:b/>
          <w:bCs/>
          <w:u w:val="single"/>
        </w:rPr>
      </w:pPr>
      <w:r>
        <w:rPr>
          <w:rFonts w:cstheme="minorHAnsi"/>
        </w:rPr>
        <w:t>No response necessary, place holder for potential future additions</w:t>
      </w:r>
      <w:r w:rsidR="00377328">
        <w:rPr>
          <w:rFonts w:cstheme="minorHAnsi"/>
        </w:rPr>
        <w:t>.</w:t>
      </w:r>
      <w:r w:rsidRPr="00223E2D">
        <w:rPr>
          <w:rFonts w:cstheme="minorHAnsi"/>
          <w:b/>
          <w:bCs/>
        </w:rPr>
        <w:t xml:space="preserve"> </w:t>
      </w:r>
    </w:p>
    <w:p w14:paraId="53BB1129" w14:textId="77777777" w:rsidR="00326B7D" w:rsidRPr="00223E2D" w:rsidRDefault="00326B7D" w:rsidP="00C360B4">
      <w:pPr>
        <w:spacing w:line="20" w:lineRule="atLeast"/>
        <w:rPr>
          <w:rFonts w:cstheme="minorHAnsi"/>
        </w:rPr>
      </w:pPr>
    </w:p>
    <w:sectPr w:rsidR="00326B7D" w:rsidRPr="00223E2D" w:rsidSect="006D1A67">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08FB" w14:textId="77777777" w:rsidR="006D1A67" w:rsidRDefault="006D1A67" w:rsidP="006D1A67">
      <w:pPr>
        <w:spacing w:after="0" w:line="240" w:lineRule="auto"/>
      </w:pPr>
      <w:r>
        <w:separator/>
      </w:r>
    </w:p>
  </w:endnote>
  <w:endnote w:type="continuationSeparator" w:id="0">
    <w:p w14:paraId="3D2C6159" w14:textId="77777777" w:rsidR="006D1A67" w:rsidRDefault="006D1A67" w:rsidP="006D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7EAB" w14:textId="7C00CFF9" w:rsidR="00816B14" w:rsidRPr="009F22B9" w:rsidRDefault="009F22B9" w:rsidP="009F22B9">
    <w:pPr>
      <w:pStyle w:val="Footer"/>
      <w:rPr>
        <w:sz w:val="18"/>
        <w:szCs w:val="18"/>
      </w:rPr>
    </w:pPr>
    <w:r w:rsidRPr="009F22B9">
      <w:rPr>
        <w:sz w:val="18"/>
        <w:szCs w:val="18"/>
      </w:rPr>
      <w:t>RM-63 THP form v</w:t>
    </w:r>
    <w:r w:rsidR="00D47BA0">
      <w:rPr>
        <w:sz w:val="18"/>
        <w:szCs w:val="18"/>
      </w:rPr>
      <w:t>5</w:t>
    </w:r>
    <w:r w:rsidRPr="009F22B9">
      <w:rPr>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C128" w14:textId="77777777" w:rsidR="006D1A67" w:rsidRDefault="006D1A67" w:rsidP="006D1A67">
      <w:pPr>
        <w:spacing w:after="0" w:line="240" w:lineRule="auto"/>
      </w:pPr>
      <w:r>
        <w:separator/>
      </w:r>
    </w:p>
  </w:footnote>
  <w:footnote w:type="continuationSeparator" w:id="0">
    <w:p w14:paraId="3F83CE33" w14:textId="77777777" w:rsidR="006D1A67" w:rsidRDefault="006D1A67" w:rsidP="006D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05F4" w14:textId="5C4E5D52" w:rsidR="006D1A67" w:rsidRDefault="006D1A67" w:rsidP="006D1A67">
    <w:pPr>
      <w:pStyle w:val="Header"/>
      <w:jc w:val="center"/>
      <w:rPr>
        <w:b/>
      </w:rPr>
    </w:pPr>
    <w:r>
      <w:rPr>
        <w:b/>
      </w:rPr>
      <w:t xml:space="preserve">SECTION II PLAN OF OPERATIONS - </w:t>
    </w:r>
    <w:r w:rsidRPr="00F115A9">
      <w:rPr>
        <w:b/>
      </w:rPr>
      <w:t>ITEM #19</w:t>
    </w:r>
    <w:r>
      <w:rPr>
        <w:b/>
      </w:rPr>
      <w:t xml:space="preserve"> to #2</w:t>
    </w:r>
    <w:r w:rsidR="00326B7D">
      <w:rPr>
        <w:b/>
      </w:rPr>
      <w:t>2</w:t>
    </w:r>
  </w:p>
  <w:p w14:paraId="66552472" w14:textId="77777777" w:rsidR="006D1A67" w:rsidRDefault="006D1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503"/>
    <w:multiLevelType w:val="hybridMultilevel"/>
    <w:tmpl w:val="11C04D8A"/>
    <w:lvl w:ilvl="0" w:tplc="1F2C49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1A57"/>
    <w:multiLevelType w:val="hybridMultilevel"/>
    <w:tmpl w:val="A00EA27E"/>
    <w:lvl w:ilvl="0" w:tplc="50DEB9E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7275E"/>
    <w:multiLevelType w:val="hybridMultilevel"/>
    <w:tmpl w:val="C0ECC6C0"/>
    <w:lvl w:ilvl="0" w:tplc="2AAC6CC2">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A12E3"/>
    <w:multiLevelType w:val="hybridMultilevel"/>
    <w:tmpl w:val="9A6833B4"/>
    <w:lvl w:ilvl="0" w:tplc="DE7E4C00">
      <w:start w:val="1"/>
      <w:numFmt w:val="lowerLetter"/>
      <w:lvlText w:val="%1."/>
      <w:lvlJc w:val="left"/>
      <w:pPr>
        <w:ind w:left="720" w:hanging="360"/>
      </w:pPr>
      <w:rPr>
        <w:rFonts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4352129">
    <w:abstractNumId w:val="0"/>
  </w:num>
  <w:num w:numId="2" w16cid:durableId="1588423425">
    <w:abstractNumId w:val="3"/>
  </w:num>
  <w:num w:numId="3" w16cid:durableId="1061175357">
    <w:abstractNumId w:val="2"/>
  </w:num>
  <w:num w:numId="4" w16cid:durableId="97605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67"/>
    <w:rsid w:val="00113EB6"/>
    <w:rsid w:val="00206E3C"/>
    <w:rsid w:val="00223E2D"/>
    <w:rsid w:val="002A669D"/>
    <w:rsid w:val="00326B7D"/>
    <w:rsid w:val="003501D2"/>
    <w:rsid w:val="00372C5E"/>
    <w:rsid w:val="00377328"/>
    <w:rsid w:val="00383E89"/>
    <w:rsid w:val="005712E4"/>
    <w:rsid w:val="006D1A67"/>
    <w:rsid w:val="00701158"/>
    <w:rsid w:val="007C5651"/>
    <w:rsid w:val="00816B14"/>
    <w:rsid w:val="008537F5"/>
    <w:rsid w:val="008C48F1"/>
    <w:rsid w:val="009F22B9"/>
    <w:rsid w:val="00A309D2"/>
    <w:rsid w:val="00A96887"/>
    <w:rsid w:val="00BB1C9B"/>
    <w:rsid w:val="00C360B4"/>
    <w:rsid w:val="00C55908"/>
    <w:rsid w:val="00D177E2"/>
    <w:rsid w:val="00D27401"/>
    <w:rsid w:val="00D47BA0"/>
    <w:rsid w:val="00DC4D45"/>
    <w:rsid w:val="00F37F0B"/>
    <w:rsid w:val="00F41210"/>
    <w:rsid w:val="00F666A1"/>
    <w:rsid w:val="00FB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6D6B"/>
  <w15:chartTrackingRefBased/>
  <w15:docId w15:val="{8DA590A3-070E-47C3-BF30-F2FA0283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A67"/>
  </w:style>
  <w:style w:type="paragraph" w:styleId="Footer">
    <w:name w:val="footer"/>
    <w:basedOn w:val="Normal"/>
    <w:link w:val="FooterChar"/>
    <w:uiPriority w:val="99"/>
    <w:unhideWhenUsed/>
    <w:rsid w:val="006D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A67"/>
  </w:style>
  <w:style w:type="table" w:styleId="TableGrid">
    <w:name w:val="Table Grid"/>
    <w:basedOn w:val="TableNormal"/>
    <w:uiPriority w:val="59"/>
    <w:rsid w:val="006D1A6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1A67"/>
    <w:rPr>
      <w:sz w:val="16"/>
      <w:szCs w:val="16"/>
    </w:rPr>
  </w:style>
  <w:style w:type="paragraph" w:styleId="CommentText">
    <w:name w:val="annotation text"/>
    <w:basedOn w:val="Normal"/>
    <w:link w:val="CommentTextChar"/>
    <w:uiPriority w:val="99"/>
    <w:semiHidden/>
    <w:unhideWhenUsed/>
    <w:rsid w:val="006D1A67"/>
    <w:pPr>
      <w:spacing w:after="0" w:line="240" w:lineRule="auto"/>
    </w:pPr>
    <w:rPr>
      <w:kern w:val="0"/>
      <w:sz w:val="20"/>
      <w:szCs w:val="20"/>
      <w14:ligatures w14:val="none"/>
    </w:rPr>
  </w:style>
  <w:style w:type="character" w:customStyle="1" w:styleId="CommentTextChar">
    <w:name w:val="Comment Text Char"/>
    <w:basedOn w:val="DefaultParagraphFont"/>
    <w:link w:val="CommentText"/>
    <w:uiPriority w:val="99"/>
    <w:semiHidden/>
    <w:rsid w:val="006D1A67"/>
    <w:rPr>
      <w:kern w:val="0"/>
      <w:sz w:val="20"/>
      <w:szCs w:val="20"/>
      <w14:ligatures w14:val="none"/>
    </w:rPr>
  </w:style>
  <w:style w:type="paragraph" w:styleId="ListParagraph">
    <w:name w:val="List Paragraph"/>
    <w:basedOn w:val="Normal"/>
    <w:uiPriority w:val="34"/>
    <w:qFormat/>
    <w:rsid w:val="00816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167D-14D1-4354-9369-45BEDECE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Headley, Shawn@CALFIRE</dc:creator>
  <cp:keywords/>
  <dc:description/>
  <cp:lastModifiedBy>Headley, Shawn@CALFIRE</cp:lastModifiedBy>
  <cp:revision>22</cp:revision>
  <dcterms:created xsi:type="dcterms:W3CDTF">2024-01-06T20:53:00Z</dcterms:created>
  <dcterms:modified xsi:type="dcterms:W3CDTF">2024-06-06T00:59:00Z</dcterms:modified>
</cp:coreProperties>
</file>