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4A3E" w14:textId="6F993AFB" w:rsidR="00BB4CAC" w:rsidRDefault="00C43F8B" w:rsidP="003A3592">
      <w:pPr>
        <w:spacing w:after="0" w:line="240" w:lineRule="auto"/>
        <w:rPr>
          <w:b/>
          <w:bCs/>
        </w:rPr>
      </w:pPr>
      <w:r w:rsidRPr="00502D94">
        <w:rPr>
          <w:b/>
          <w:bCs/>
        </w:rPr>
        <w:t>Proposed Amendments and Ideas for California Code of Regulations</w:t>
      </w:r>
      <w:r w:rsidR="00E60AD3">
        <w:rPr>
          <w:b/>
          <w:bCs/>
        </w:rPr>
        <w:t xml:space="preserve"> (CCR)</w:t>
      </w:r>
      <w:r w:rsidRPr="00502D94">
        <w:rPr>
          <w:b/>
          <w:bCs/>
        </w:rPr>
        <w:t>, Title 19, Division 1, Chapter 11</w:t>
      </w:r>
    </w:p>
    <w:p w14:paraId="61711F25" w14:textId="4F76E8C5" w:rsidR="003A3592" w:rsidRDefault="003A3592">
      <w:pPr>
        <w:rPr>
          <w:b/>
          <w:bCs/>
        </w:rPr>
      </w:pPr>
      <w:r>
        <w:rPr>
          <w:b/>
          <w:bCs/>
        </w:rPr>
        <w:t xml:space="preserve">For </w:t>
      </w:r>
      <w:r w:rsidR="00F70FB0">
        <w:rPr>
          <w:b/>
          <w:bCs/>
        </w:rPr>
        <w:t>Aboveground Petroleum Storage Act (</w:t>
      </w:r>
      <w:r>
        <w:rPr>
          <w:b/>
          <w:bCs/>
        </w:rPr>
        <w:t>APSA</w:t>
      </w:r>
      <w:r w:rsidR="00F70FB0">
        <w:rPr>
          <w:b/>
          <w:bCs/>
        </w:rPr>
        <w:t>)</w:t>
      </w:r>
      <w:r>
        <w:rPr>
          <w:b/>
          <w:bCs/>
        </w:rPr>
        <w:t xml:space="preserve"> Advisory Committee Meeting on </w:t>
      </w:r>
      <w:r w:rsidR="00325063">
        <w:rPr>
          <w:b/>
          <w:bCs/>
        </w:rPr>
        <w:t>October</w:t>
      </w:r>
      <w:r w:rsidR="00325063">
        <w:rPr>
          <w:b/>
          <w:bCs/>
        </w:rPr>
        <w:t xml:space="preserve"> 1</w:t>
      </w:r>
      <w:r w:rsidR="00325063">
        <w:rPr>
          <w:b/>
          <w:bCs/>
        </w:rPr>
        <w:t>5</w:t>
      </w:r>
      <w:r>
        <w:rPr>
          <w:b/>
          <w:bCs/>
        </w:rPr>
        <w:t>, 2025</w:t>
      </w:r>
    </w:p>
    <w:p w14:paraId="133CAF4D" w14:textId="51625A51" w:rsidR="005A1743" w:rsidRDefault="00DC13A7" w:rsidP="00B01E7C">
      <w:pPr>
        <w:spacing w:after="0" w:line="240" w:lineRule="auto"/>
      </w:pPr>
      <w:r>
        <w:t>Acronyms</w:t>
      </w:r>
      <w:r w:rsidR="00D91BAA">
        <w:t>:</w:t>
      </w:r>
    </w:p>
    <w:p w14:paraId="4F51DB2F" w14:textId="2D05922D" w:rsidR="009616D8" w:rsidRDefault="009616D8" w:rsidP="005A1743">
      <w:pPr>
        <w:spacing w:after="0" w:line="240" w:lineRule="auto"/>
      </w:pPr>
      <w:r>
        <w:t>API – American Petroleum Institute</w:t>
      </w:r>
    </w:p>
    <w:p w14:paraId="75211E15" w14:textId="553AE436" w:rsidR="00DC13A7" w:rsidRDefault="00DC13A7" w:rsidP="005A1743">
      <w:pPr>
        <w:spacing w:after="0" w:line="240" w:lineRule="auto"/>
      </w:pPr>
      <w:r>
        <w:t>APSA – Aboveground Petroleum Storage Act</w:t>
      </w:r>
    </w:p>
    <w:p w14:paraId="48C4235D" w14:textId="02AA4FF8" w:rsidR="005A1743" w:rsidRDefault="005A1743" w:rsidP="00B01E7C">
      <w:pPr>
        <w:spacing w:after="0" w:line="240" w:lineRule="auto"/>
      </w:pPr>
      <w:r>
        <w:t>AST – aboveground storage tank</w:t>
      </w:r>
    </w:p>
    <w:p w14:paraId="40D81908" w14:textId="4F244D53" w:rsidR="005A1743" w:rsidRDefault="005A1743" w:rsidP="005A1743">
      <w:pPr>
        <w:spacing w:after="0" w:line="240" w:lineRule="auto"/>
      </w:pPr>
      <w:r>
        <w:t>CCR – California Code of Regulations</w:t>
      </w:r>
    </w:p>
    <w:p w14:paraId="6E8E4ED3" w14:textId="49C7621C" w:rsidR="005A1743" w:rsidRDefault="005A1743" w:rsidP="005A1743">
      <w:pPr>
        <w:spacing w:after="0" w:line="240" w:lineRule="auto"/>
      </w:pPr>
      <w:r>
        <w:t>CFR – Code of Federal Regulations</w:t>
      </w:r>
    </w:p>
    <w:p w14:paraId="252A49D6" w14:textId="4ABFE7ED" w:rsidR="00281C9B" w:rsidRDefault="00281C9B" w:rsidP="005A1743">
      <w:pPr>
        <w:spacing w:after="0" w:line="240" w:lineRule="auto"/>
      </w:pPr>
      <w:r>
        <w:t>EPA – U. S. Environmental Protection Agency</w:t>
      </w:r>
    </w:p>
    <w:p w14:paraId="788D279C" w14:textId="10FF1737" w:rsidR="00DC13A7" w:rsidRDefault="005A1743" w:rsidP="005A1743">
      <w:pPr>
        <w:spacing w:after="0" w:line="240" w:lineRule="auto"/>
      </w:pPr>
      <w:r>
        <w:t>HSC – Health and Safety Code</w:t>
      </w:r>
    </w:p>
    <w:p w14:paraId="254614AE" w14:textId="7828961B" w:rsidR="005A1743" w:rsidRDefault="005A1743" w:rsidP="005A1743">
      <w:pPr>
        <w:spacing w:after="0" w:line="240" w:lineRule="auto"/>
      </w:pPr>
      <w:r>
        <w:t>SPCC – Spill Prevention, Control, and Countermeasure</w:t>
      </w:r>
    </w:p>
    <w:p w14:paraId="23DE787A" w14:textId="7C88A2E6" w:rsidR="00954CFF" w:rsidRDefault="00954CFF" w:rsidP="005A1743">
      <w:pPr>
        <w:spacing w:after="0" w:line="240" w:lineRule="auto"/>
      </w:pPr>
      <w:r>
        <w:t>STI</w:t>
      </w:r>
      <w:r w:rsidR="00BC70D6">
        <w:t>/SPFA</w:t>
      </w:r>
      <w:r>
        <w:t xml:space="preserve"> – Steel Tank Institute</w:t>
      </w:r>
      <w:r w:rsidR="00BC70D6">
        <w:t>/S</w:t>
      </w:r>
      <w:r w:rsidR="00624F24">
        <w:t>teel Plate Fabricators Association</w:t>
      </w:r>
    </w:p>
    <w:p w14:paraId="711EB796" w14:textId="3394C362" w:rsidR="002437DA" w:rsidRDefault="002437DA" w:rsidP="005A1743">
      <w:pPr>
        <w:spacing w:after="0" w:line="240" w:lineRule="auto"/>
      </w:pPr>
      <w:r w:rsidRPr="002437DA">
        <w:t>TIUGA – tank in an und</w:t>
      </w:r>
      <w:r w:rsidRPr="00B01E7C">
        <w:t>er</w:t>
      </w:r>
      <w:r>
        <w:t>ground area</w:t>
      </w:r>
    </w:p>
    <w:p w14:paraId="486D00C8" w14:textId="6637111B" w:rsidR="009616D8" w:rsidRPr="002437DA" w:rsidRDefault="009616D8" w:rsidP="005A1743">
      <w:pPr>
        <w:spacing w:after="0" w:line="240" w:lineRule="auto"/>
      </w:pPr>
      <w:r>
        <w:t>UL – Underwriters Laboratories</w:t>
      </w:r>
    </w:p>
    <w:p w14:paraId="2F6F2121" w14:textId="5F88F2FB" w:rsidR="00954CFF" w:rsidRDefault="00954CFF" w:rsidP="005A1743">
      <w:pPr>
        <w:spacing w:after="0" w:line="240" w:lineRule="auto"/>
      </w:pPr>
      <w:r>
        <w:t>UPA – Unified Program Agency</w:t>
      </w:r>
    </w:p>
    <w:p w14:paraId="67216CD4" w14:textId="7D9F59CD" w:rsidR="005A1743" w:rsidRDefault="005A1743" w:rsidP="005A1743">
      <w:pPr>
        <w:spacing w:after="0" w:line="240" w:lineRule="auto"/>
      </w:pPr>
      <w:r>
        <w:t>UST – underground storage tank</w:t>
      </w:r>
    </w:p>
    <w:p w14:paraId="6E51F9C6" w14:textId="4D7DBDD1" w:rsidR="005A1743" w:rsidRDefault="005A1743" w:rsidP="00B01E7C">
      <w:pPr>
        <w:spacing w:after="0" w:line="240" w:lineRule="auto"/>
      </w:pPr>
    </w:p>
    <w:tbl>
      <w:tblPr>
        <w:tblStyle w:val="TableGrid"/>
        <w:tblW w:w="0" w:type="auto"/>
        <w:tblLook w:val="04A0" w:firstRow="1" w:lastRow="0" w:firstColumn="1" w:lastColumn="0" w:noHBand="0" w:noVBand="1"/>
      </w:tblPr>
      <w:tblGrid>
        <w:gridCol w:w="1435"/>
        <w:gridCol w:w="5039"/>
        <w:gridCol w:w="3238"/>
        <w:gridCol w:w="4593"/>
      </w:tblGrid>
      <w:tr w:rsidR="00C43F8B" w:rsidRPr="00502D94" w14:paraId="517E747D" w14:textId="77777777" w:rsidTr="00C15C62">
        <w:tc>
          <w:tcPr>
            <w:tcW w:w="1435" w:type="dxa"/>
          </w:tcPr>
          <w:p w14:paraId="61E46E59" w14:textId="71DE9F4E" w:rsidR="00C43F8B" w:rsidRPr="00502D94" w:rsidRDefault="00C43F8B">
            <w:pPr>
              <w:rPr>
                <w:b/>
                <w:bCs/>
              </w:rPr>
            </w:pPr>
            <w:r w:rsidRPr="00502D94">
              <w:rPr>
                <w:b/>
                <w:bCs/>
              </w:rPr>
              <w:t>Section</w:t>
            </w:r>
          </w:p>
        </w:tc>
        <w:tc>
          <w:tcPr>
            <w:tcW w:w="5039" w:type="dxa"/>
          </w:tcPr>
          <w:p w14:paraId="136A2FC4" w14:textId="37CAE8BC" w:rsidR="00C43F8B" w:rsidRPr="00502D94" w:rsidRDefault="00C43F8B">
            <w:pPr>
              <w:rPr>
                <w:b/>
                <w:bCs/>
              </w:rPr>
            </w:pPr>
            <w:r w:rsidRPr="00502D94">
              <w:rPr>
                <w:b/>
                <w:bCs/>
              </w:rPr>
              <w:t>Proposed Amendments</w:t>
            </w:r>
          </w:p>
        </w:tc>
        <w:tc>
          <w:tcPr>
            <w:tcW w:w="3238" w:type="dxa"/>
          </w:tcPr>
          <w:p w14:paraId="6BB7271A" w14:textId="3E1D632E" w:rsidR="00C43F8B" w:rsidRPr="00674740" w:rsidRDefault="00C43F8B">
            <w:pPr>
              <w:rPr>
                <w:b/>
                <w:bCs/>
              </w:rPr>
            </w:pPr>
            <w:r w:rsidRPr="00674740">
              <w:rPr>
                <w:b/>
                <w:bCs/>
              </w:rPr>
              <w:t>Justification</w:t>
            </w:r>
          </w:p>
        </w:tc>
        <w:tc>
          <w:tcPr>
            <w:tcW w:w="4593" w:type="dxa"/>
          </w:tcPr>
          <w:p w14:paraId="6C63F36C" w14:textId="2D0B007A" w:rsidR="00C43F8B" w:rsidRPr="00502D94" w:rsidRDefault="00C43F8B">
            <w:pPr>
              <w:rPr>
                <w:b/>
                <w:bCs/>
              </w:rPr>
            </w:pPr>
            <w:r w:rsidRPr="00502D94">
              <w:rPr>
                <w:b/>
                <w:bCs/>
              </w:rPr>
              <w:t>Advisory Committee Notes</w:t>
            </w:r>
          </w:p>
        </w:tc>
      </w:tr>
      <w:tr w:rsidR="00C43F8B" w14:paraId="4AC7E67E" w14:textId="77777777" w:rsidTr="00C15C62">
        <w:tc>
          <w:tcPr>
            <w:tcW w:w="1435" w:type="dxa"/>
          </w:tcPr>
          <w:p w14:paraId="7B47BBCB" w14:textId="1478C0FC" w:rsidR="00C43F8B" w:rsidRDefault="00C43F8B">
            <w:r>
              <w:t>1601</w:t>
            </w:r>
          </w:p>
        </w:tc>
        <w:tc>
          <w:tcPr>
            <w:tcW w:w="5039" w:type="dxa"/>
          </w:tcPr>
          <w:p w14:paraId="6DAA8BCC" w14:textId="77777777" w:rsidR="00C43F8B" w:rsidRPr="0076527C" w:rsidRDefault="00C43F8B" w:rsidP="00C43F8B">
            <w:pPr>
              <w:pStyle w:val="BodyText"/>
              <w:ind w:left="0"/>
              <w:rPr>
                <w:u w:val="none"/>
              </w:rPr>
            </w:pPr>
            <w:r w:rsidRPr="0076527C">
              <w:rPr>
                <w:u w:val="none"/>
              </w:rPr>
              <w:t>Scope:</w:t>
            </w:r>
            <w:r w:rsidRPr="0076527C">
              <w:rPr>
                <w:spacing w:val="-2"/>
                <w:u w:val="none"/>
              </w:rPr>
              <w:t xml:space="preserve"> </w:t>
            </w:r>
            <w:r w:rsidRPr="0076527C">
              <w:rPr>
                <w:u w:val="none"/>
              </w:rPr>
              <w:t>Legislative</w:t>
            </w:r>
            <w:r w:rsidRPr="0076527C">
              <w:rPr>
                <w:spacing w:val="-2"/>
                <w:u w:val="none"/>
              </w:rPr>
              <w:t xml:space="preserve"> </w:t>
            </w:r>
            <w:r w:rsidRPr="0076527C">
              <w:rPr>
                <w:u w:val="none"/>
              </w:rPr>
              <w:t>References</w:t>
            </w:r>
            <w:r w:rsidRPr="0076527C">
              <w:rPr>
                <w:spacing w:val="-4"/>
                <w:u w:val="none"/>
              </w:rPr>
              <w:t xml:space="preserve"> </w:t>
            </w:r>
            <w:r w:rsidRPr="0076527C">
              <w:rPr>
                <w:u w:val="none"/>
              </w:rPr>
              <w:t>for</w:t>
            </w:r>
            <w:r w:rsidRPr="0076527C">
              <w:rPr>
                <w:spacing w:val="-4"/>
                <w:u w:val="none"/>
              </w:rPr>
              <w:t xml:space="preserve"> </w:t>
            </w:r>
            <w:r w:rsidRPr="0076527C">
              <w:rPr>
                <w:u w:val="none"/>
              </w:rPr>
              <w:t>Inclusions</w:t>
            </w:r>
            <w:r w:rsidRPr="00B369FD">
              <w:rPr>
                <w:strike/>
                <w:highlight w:val="yellow"/>
                <w:u w:val="none"/>
              </w:rPr>
              <w:t>,</w:t>
            </w:r>
            <w:r w:rsidRPr="0076527C">
              <w:rPr>
                <w:spacing w:val="-5"/>
                <w:u w:val="none"/>
              </w:rPr>
              <w:t xml:space="preserve"> </w:t>
            </w:r>
            <w:r w:rsidRPr="0076527C">
              <w:rPr>
                <w:u w:val="none"/>
              </w:rPr>
              <w:t>and</w:t>
            </w:r>
            <w:r w:rsidRPr="0076527C">
              <w:rPr>
                <w:spacing w:val="-3"/>
                <w:u w:val="none"/>
              </w:rPr>
              <w:t xml:space="preserve"> </w:t>
            </w:r>
            <w:r w:rsidRPr="0076527C">
              <w:rPr>
                <w:spacing w:val="-2"/>
                <w:u w:val="none"/>
              </w:rPr>
              <w:t>Exclusions</w:t>
            </w:r>
          </w:p>
          <w:p w14:paraId="09FC5987" w14:textId="0B576671" w:rsidR="00C43F8B" w:rsidRDefault="00C43F8B" w:rsidP="00C43F8B"/>
        </w:tc>
        <w:tc>
          <w:tcPr>
            <w:tcW w:w="3238" w:type="dxa"/>
          </w:tcPr>
          <w:p w14:paraId="31035068" w14:textId="67628F3A" w:rsidR="00C43F8B" w:rsidRPr="00674740" w:rsidRDefault="00C43F8B">
            <w:r w:rsidRPr="00674740">
              <w:t xml:space="preserve">Remove unnecessary comma </w:t>
            </w:r>
            <w:r w:rsidR="00172E9F" w:rsidRPr="00674740">
              <w:t xml:space="preserve">(typo error) </w:t>
            </w:r>
            <w:r w:rsidRPr="00674740">
              <w:t>in section title for proper grammar</w:t>
            </w:r>
          </w:p>
        </w:tc>
        <w:tc>
          <w:tcPr>
            <w:tcW w:w="4593" w:type="dxa"/>
          </w:tcPr>
          <w:p w14:paraId="673080BE" w14:textId="19112D30" w:rsidR="00C43F8B" w:rsidRDefault="00E40B40">
            <w:r>
              <w:t>Discussed in June 2025</w:t>
            </w:r>
          </w:p>
        </w:tc>
      </w:tr>
      <w:tr w:rsidR="00C43F8B" w14:paraId="4D595B21" w14:textId="77777777" w:rsidTr="00C15C62">
        <w:tc>
          <w:tcPr>
            <w:tcW w:w="1435" w:type="dxa"/>
          </w:tcPr>
          <w:p w14:paraId="71E25812" w14:textId="3AC97C30" w:rsidR="00C43F8B" w:rsidRDefault="00C43F8B">
            <w:r>
              <w:t>1601(c)</w:t>
            </w:r>
          </w:p>
        </w:tc>
        <w:tc>
          <w:tcPr>
            <w:tcW w:w="5039" w:type="dxa"/>
          </w:tcPr>
          <w:p w14:paraId="1359A4C0" w14:textId="1D272D3B" w:rsidR="00C43F8B" w:rsidRDefault="00C43F8B">
            <w:r w:rsidRPr="0076527C">
              <w:t>A</w:t>
            </w:r>
            <w:r w:rsidRPr="0076527C">
              <w:rPr>
                <w:spacing w:val="-1"/>
              </w:rPr>
              <w:t xml:space="preserve"> </w:t>
            </w:r>
            <w:r w:rsidRPr="0076527C">
              <w:t>storage</w:t>
            </w:r>
            <w:r w:rsidRPr="0076527C">
              <w:rPr>
                <w:spacing w:val="-1"/>
              </w:rPr>
              <w:t xml:space="preserve"> </w:t>
            </w:r>
            <w:r w:rsidRPr="0076527C">
              <w:t>tank</w:t>
            </w:r>
            <w:r w:rsidRPr="0076527C">
              <w:rPr>
                <w:spacing w:val="-2"/>
              </w:rPr>
              <w:t xml:space="preserve"> </w:t>
            </w:r>
            <w:r w:rsidRPr="0076527C">
              <w:t>or</w:t>
            </w:r>
            <w:r w:rsidRPr="0076527C">
              <w:rPr>
                <w:spacing w:val="-3"/>
              </w:rPr>
              <w:t xml:space="preserve"> </w:t>
            </w:r>
            <w:r w:rsidRPr="0076527C">
              <w:t>tank</w:t>
            </w:r>
            <w:r w:rsidRPr="0076527C">
              <w:rPr>
                <w:spacing w:val="-2"/>
              </w:rPr>
              <w:t xml:space="preserve"> </w:t>
            </w:r>
            <w:r w:rsidRPr="0076527C">
              <w:t>facility</w:t>
            </w:r>
            <w:r w:rsidRPr="0076527C">
              <w:rPr>
                <w:spacing w:val="-2"/>
              </w:rPr>
              <w:t xml:space="preserve"> </w:t>
            </w:r>
            <w:r w:rsidRPr="0076527C">
              <w:t>is</w:t>
            </w:r>
            <w:r w:rsidRPr="0076527C">
              <w:rPr>
                <w:spacing w:val="-2"/>
              </w:rPr>
              <w:t xml:space="preserve"> </w:t>
            </w:r>
            <w:r w:rsidRPr="0076527C">
              <w:t>not</w:t>
            </w:r>
            <w:r w:rsidRPr="0076527C">
              <w:rPr>
                <w:spacing w:val="-1"/>
              </w:rPr>
              <w:t xml:space="preserve"> </w:t>
            </w:r>
            <w:r w:rsidRPr="0076527C">
              <w:t>subject</w:t>
            </w:r>
            <w:r w:rsidRPr="0076527C">
              <w:rPr>
                <w:spacing w:val="-4"/>
              </w:rPr>
              <w:t xml:space="preserve"> </w:t>
            </w:r>
            <w:r w:rsidRPr="0076527C">
              <w:t>to</w:t>
            </w:r>
            <w:r w:rsidRPr="0076527C">
              <w:rPr>
                <w:spacing w:val="-1"/>
              </w:rPr>
              <w:t xml:space="preserve"> </w:t>
            </w:r>
            <w:r w:rsidRPr="0076527C">
              <w:t>these</w:t>
            </w:r>
            <w:r w:rsidRPr="0076527C">
              <w:rPr>
                <w:spacing w:val="-3"/>
              </w:rPr>
              <w:t xml:space="preserve"> </w:t>
            </w:r>
            <w:r w:rsidRPr="0076527C">
              <w:t>regulations</w:t>
            </w:r>
            <w:r w:rsidRPr="0076527C">
              <w:rPr>
                <w:spacing w:val="-4"/>
              </w:rPr>
              <w:t xml:space="preserve"> </w:t>
            </w:r>
            <w:r w:rsidRPr="0076527C">
              <w:t>if</w:t>
            </w:r>
            <w:r w:rsidRPr="0076527C">
              <w:rPr>
                <w:spacing w:val="-4"/>
              </w:rPr>
              <w:t xml:space="preserve"> </w:t>
            </w:r>
            <w:r w:rsidRPr="0076527C">
              <w:t>it</w:t>
            </w:r>
            <w:r w:rsidRPr="0076527C">
              <w:rPr>
                <w:spacing w:val="-1"/>
              </w:rPr>
              <w:t xml:space="preserve"> </w:t>
            </w:r>
            <w:r w:rsidRPr="0076527C">
              <w:t>meets</w:t>
            </w:r>
            <w:r w:rsidRPr="0076527C">
              <w:rPr>
                <w:spacing w:val="-2"/>
              </w:rPr>
              <w:t xml:space="preserve"> </w:t>
            </w:r>
            <w:r w:rsidRPr="0076527C">
              <w:t>any</w:t>
            </w:r>
            <w:r w:rsidRPr="0076527C">
              <w:rPr>
                <w:spacing w:val="-2"/>
              </w:rPr>
              <w:t xml:space="preserve"> </w:t>
            </w:r>
            <w:r w:rsidRPr="0076527C">
              <w:t>of the criteria referenced in the HSC Section 25270.</w:t>
            </w:r>
            <w:r w:rsidRPr="001E3C3C">
              <w:rPr>
                <w:highlight w:val="yellow"/>
              </w:rPr>
              <w:t>2</w:t>
            </w:r>
            <w:r w:rsidRPr="001E3C3C">
              <w:rPr>
                <w:strike/>
                <w:highlight w:val="yellow"/>
              </w:rPr>
              <w:t xml:space="preserve"> </w:t>
            </w:r>
            <w:r w:rsidRPr="001E3C3C">
              <w:rPr>
                <w:highlight w:val="yellow"/>
              </w:rPr>
              <w:t>(</w:t>
            </w:r>
            <w:r w:rsidRPr="0076527C">
              <w:t>a)(1)-(8).</w:t>
            </w:r>
          </w:p>
        </w:tc>
        <w:tc>
          <w:tcPr>
            <w:tcW w:w="3238" w:type="dxa"/>
          </w:tcPr>
          <w:p w14:paraId="7112171D" w14:textId="2A022B67" w:rsidR="00C43F8B" w:rsidRPr="00674740" w:rsidRDefault="00C43F8B">
            <w:r w:rsidRPr="00674740">
              <w:t>Delete extra space between 25270.2 and (a)(1)-(8) for consistency with other referenced citations.</w:t>
            </w:r>
          </w:p>
        </w:tc>
        <w:tc>
          <w:tcPr>
            <w:tcW w:w="4593" w:type="dxa"/>
          </w:tcPr>
          <w:p w14:paraId="5E0DAAAB" w14:textId="5AE8E225" w:rsidR="00C43F8B" w:rsidRDefault="00E40B40">
            <w:r>
              <w:t>Discussed in June 2025</w:t>
            </w:r>
          </w:p>
        </w:tc>
      </w:tr>
      <w:tr w:rsidR="00C43F8B" w14:paraId="4CA842B7" w14:textId="77777777" w:rsidTr="00C15C62">
        <w:tc>
          <w:tcPr>
            <w:tcW w:w="1435" w:type="dxa"/>
          </w:tcPr>
          <w:p w14:paraId="7809E83D" w14:textId="0370AB3F" w:rsidR="00C43F8B" w:rsidRDefault="00F72233">
            <w:r>
              <w:t>1608</w:t>
            </w:r>
          </w:p>
        </w:tc>
        <w:tc>
          <w:tcPr>
            <w:tcW w:w="5039" w:type="dxa"/>
          </w:tcPr>
          <w:p w14:paraId="2F1F518A" w14:textId="31CA09E3" w:rsidR="00C43F8B" w:rsidRDefault="00F72233">
            <w:r w:rsidRPr="0076527C">
              <w:t>Terms</w:t>
            </w:r>
            <w:r w:rsidRPr="0076527C">
              <w:rPr>
                <w:spacing w:val="-4"/>
              </w:rPr>
              <w:t xml:space="preserve"> </w:t>
            </w:r>
            <w:r w:rsidRPr="0076527C">
              <w:t>in</w:t>
            </w:r>
            <w:r w:rsidRPr="0076527C">
              <w:rPr>
                <w:spacing w:val="-3"/>
              </w:rPr>
              <w:t xml:space="preserve"> </w:t>
            </w:r>
            <w:r w:rsidRPr="0076527C">
              <w:t>these</w:t>
            </w:r>
            <w:r w:rsidRPr="0076527C">
              <w:rPr>
                <w:spacing w:val="-3"/>
              </w:rPr>
              <w:t xml:space="preserve"> </w:t>
            </w:r>
            <w:r w:rsidRPr="0076527C">
              <w:t>regulations</w:t>
            </w:r>
            <w:r w:rsidRPr="0076527C">
              <w:rPr>
                <w:spacing w:val="-4"/>
              </w:rPr>
              <w:t xml:space="preserve"> </w:t>
            </w:r>
            <w:r w:rsidRPr="0076527C">
              <w:t>and</w:t>
            </w:r>
            <w:r w:rsidRPr="0076527C">
              <w:rPr>
                <w:spacing w:val="-5"/>
              </w:rPr>
              <w:t xml:space="preserve"> </w:t>
            </w:r>
            <w:r w:rsidRPr="0076527C">
              <w:t>the</w:t>
            </w:r>
            <w:r w:rsidRPr="0076527C">
              <w:rPr>
                <w:spacing w:val="-5"/>
              </w:rPr>
              <w:t xml:space="preserve"> </w:t>
            </w:r>
            <w:r w:rsidRPr="0076527C">
              <w:t>preparation</w:t>
            </w:r>
            <w:r w:rsidRPr="0076527C">
              <w:rPr>
                <w:spacing w:val="-3"/>
              </w:rPr>
              <w:t xml:space="preserve"> </w:t>
            </w:r>
            <w:r w:rsidRPr="0076527C">
              <w:t>and</w:t>
            </w:r>
            <w:r w:rsidRPr="0076527C">
              <w:rPr>
                <w:spacing w:val="-3"/>
              </w:rPr>
              <w:t xml:space="preserve"> </w:t>
            </w:r>
            <w:r w:rsidRPr="0076527C">
              <w:t>implementation</w:t>
            </w:r>
            <w:r w:rsidRPr="0076527C">
              <w:rPr>
                <w:spacing w:val="-5"/>
              </w:rPr>
              <w:t xml:space="preserve"> </w:t>
            </w:r>
            <w:r w:rsidRPr="0076527C">
              <w:t>of</w:t>
            </w:r>
            <w:r w:rsidRPr="0076527C">
              <w:rPr>
                <w:spacing w:val="-3"/>
              </w:rPr>
              <w:t xml:space="preserve"> </w:t>
            </w:r>
            <w:r w:rsidRPr="0076527C">
              <w:t>a</w:t>
            </w:r>
            <w:r w:rsidRPr="0076527C">
              <w:rPr>
                <w:spacing w:val="-5"/>
              </w:rPr>
              <w:t xml:space="preserve"> </w:t>
            </w:r>
            <w:r w:rsidRPr="0076527C">
              <w:t>Spill,</w:t>
            </w:r>
            <w:r>
              <w:t xml:space="preserve"> Prevention, Control</w:t>
            </w:r>
            <w:r w:rsidRPr="0076527C">
              <w:t>, and Countermeasure Plan (SPCC Plan) have the same meaning as</w:t>
            </w:r>
            <w:r w:rsidRPr="0076527C">
              <w:rPr>
                <w:spacing w:val="-2"/>
              </w:rPr>
              <w:t xml:space="preserve"> </w:t>
            </w:r>
            <w:r w:rsidRPr="0076527C">
              <w:t>defined</w:t>
            </w:r>
            <w:r w:rsidRPr="0076527C">
              <w:rPr>
                <w:spacing w:val="-3"/>
              </w:rPr>
              <w:t xml:space="preserve"> </w:t>
            </w:r>
            <w:r w:rsidRPr="0076527C">
              <w:t>in</w:t>
            </w:r>
            <w:r w:rsidRPr="0076527C">
              <w:rPr>
                <w:spacing w:val="-1"/>
              </w:rPr>
              <w:t xml:space="preserve"> </w:t>
            </w:r>
            <w:r w:rsidRPr="0076527C">
              <w:t>the</w:t>
            </w:r>
            <w:r w:rsidRPr="0076527C">
              <w:rPr>
                <w:spacing w:val="-1"/>
              </w:rPr>
              <w:t xml:space="preserve"> </w:t>
            </w:r>
            <w:r w:rsidRPr="0076527C">
              <w:t>Code</w:t>
            </w:r>
            <w:r w:rsidRPr="0076527C">
              <w:rPr>
                <w:spacing w:val="-3"/>
              </w:rPr>
              <w:t xml:space="preserve"> </w:t>
            </w:r>
            <w:r w:rsidRPr="0076527C">
              <w:t>of</w:t>
            </w:r>
            <w:r w:rsidRPr="0076527C">
              <w:rPr>
                <w:spacing w:val="-1"/>
              </w:rPr>
              <w:t xml:space="preserve"> </w:t>
            </w:r>
            <w:r w:rsidRPr="0076527C">
              <w:t>Federal</w:t>
            </w:r>
            <w:r w:rsidRPr="0076527C">
              <w:rPr>
                <w:spacing w:val="-2"/>
              </w:rPr>
              <w:t xml:space="preserve"> </w:t>
            </w:r>
            <w:r w:rsidRPr="0076527C">
              <w:t>Regulations</w:t>
            </w:r>
            <w:r w:rsidRPr="0076527C">
              <w:rPr>
                <w:spacing w:val="-2"/>
              </w:rPr>
              <w:t xml:space="preserve"> </w:t>
            </w:r>
            <w:r w:rsidRPr="0076527C">
              <w:t>Title</w:t>
            </w:r>
            <w:r w:rsidRPr="0076527C">
              <w:rPr>
                <w:spacing w:val="-1"/>
              </w:rPr>
              <w:t xml:space="preserve"> </w:t>
            </w:r>
            <w:r w:rsidRPr="0076527C">
              <w:t>40,</w:t>
            </w:r>
            <w:r w:rsidRPr="0076527C">
              <w:rPr>
                <w:spacing w:val="-4"/>
              </w:rPr>
              <w:t xml:space="preserve"> </w:t>
            </w:r>
            <w:r w:rsidRPr="0076527C">
              <w:t>Part</w:t>
            </w:r>
            <w:r w:rsidRPr="0076527C">
              <w:rPr>
                <w:spacing w:val="-4"/>
              </w:rPr>
              <w:t xml:space="preserve"> </w:t>
            </w:r>
            <w:r w:rsidRPr="0076527C">
              <w:t>112,</w:t>
            </w:r>
            <w:r w:rsidRPr="0076527C">
              <w:rPr>
                <w:spacing w:val="-1"/>
              </w:rPr>
              <w:t xml:space="preserve"> </w:t>
            </w:r>
            <w:r w:rsidRPr="0076527C">
              <w:t>with</w:t>
            </w:r>
            <w:r w:rsidRPr="0076527C">
              <w:rPr>
                <w:spacing w:val="-1"/>
              </w:rPr>
              <w:t xml:space="preserve"> </w:t>
            </w:r>
            <w:r w:rsidRPr="0076527C">
              <w:t>exceptions</w:t>
            </w:r>
            <w:r w:rsidRPr="0076527C">
              <w:rPr>
                <w:spacing w:val="-4"/>
              </w:rPr>
              <w:t xml:space="preserve"> </w:t>
            </w:r>
            <w:r w:rsidRPr="0076527C">
              <w:t>to</w:t>
            </w:r>
            <w:r w:rsidRPr="0076527C">
              <w:rPr>
                <w:spacing w:val="-3"/>
              </w:rPr>
              <w:t xml:space="preserve"> </w:t>
            </w:r>
            <w:r w:rsidRPr="0076527C">
              <w:t>the following terms, which are defined in HSC Section 25270.</w:t>
            </w:r>
            <w:r w:rsidRPr="001E3C3C">
              <w:rPr>
                <w:highlight w:val="yellow"/>
              </w:rPr>
              <w:t>2</w:t>
            </w:r>
            <w:r w:rsidRPr="001E3C3C">
              <w:rPr>
                <w:strike/>
                <w:highlight w:val="yellow"/>
              </w:rPr>
              <w:t>.</w:t>
            </w:r>
            <w:r w:rsidRPr="001E3C3C">
              <w:rPr>
                <w:highlight w:val="yellow"/>
              </w:rPr>
              <w:t>:</w:t>
            </w:r>
            <w:r w:rsidRPr="0076527C">
              <w:t xml:space="preserve"> tank facility, owner or operator, and petroleum.</w:t>
            </w:r>
          </w:p>
        </w:tc>
        <w:tc>
          <w:tcPr>
            <w:tcW w:w="3238" w:type="dxa"/>
          </w:tcPr>
          <w:p w14:paraId="5F87EBD4" w14:textId="34003013" w:rsidR="00C43F8B" w:rsidRPr="00674740" w:rsidRDefault="00F72233">
            <w:r w:rsidRPr="00674740">
              <w:t xml:space="preserve">Remove period </w:t>
            </w:r>
            <w:r w:rsidR="00544F0F" w:rsidRPr="00674740">
              <w:t xml:space="preserve">(typo error) </w:t>
            </w:r>
            <w:r w:rsidRPr="00674740">
              <w:t>after 25270.2 for proper grammar/sentence structure.</w:t>
            </w:r>
          </w:p>
        </w:tc>
        <w:tc>
          <w:tcPr>
            <w:tcW w:w="4593" w:type="dxa"/>
          </w:tcPr>
          <w:p w14:paraId="7C6F15E7" w14:textId="03C48F08" w:rsidR="00C43F8B" w:rsidRDefault="00E40B40">
            <w:r>
              <w:t>Discussed in June 2025</w:t>
            </w:r>
          </w:p>
        </w:tc>
      </w:tr>
      <w:tr w:rsidR="00F6107A" w14:paraId="465729EA" w14:textId="77777777" w:rsidTr="00C15C62">
        <w:tc>
          <w:tcPr>
            <w:tcW w:w="1435" w:type="dxa"/>
          </w:tcPr>
          <w:p w14:paraId="0E1C7F2F" w14:textId="0C5BDE9E" w:rsidR="00F6107A" w:rsidRDefault="00F6107A">
            <w:r>
              <w:lastRenderedPageBreak/>
              <w:t>1611(a)(7)</w:t>
            </w:r>
          </w:p>
        </w:tc>
        <w:tc>
          <w:tcPr>
            <w:tcW w:w="5039" w:type="dxa"/>
          </w:tcPr>
          <w:p w14:paraId="7647ECF0" w14:textId="6EDDE03F" w:rsidR="00F6107A" w:rsidRPr="0076527C" w:rsidRDefault="00DA30FC">
            <w:r w:rsidRPr="0076527C">
              <w:t>The training and discharge prevention briefings are conducted. Records of the</w:t>
            </w:r>
            <w:r w:rsidRPr="0076527C">
              <w:rPr>
                <w:spacing w:val="-3"/>
              </w:rPr>
              <w:t xml:space="preserve"> </w:t>
            </w:r>
            <w:r w:rsidRPr="0076527C">
              <w:t>training</w:t>
            </w:r>
            <w:r w:rsidRPr="0076527C">
              <w:rPr>
                <w:spacing w:val="-5"/>
              </w:rPr>
              <w:t xml:space="preserve"> </w:t>
            </w:r>
            <w:r w:rsidRPr="0076527C">
              <w:t>and</w:t>
            </w:r>
            <w:r w:rsidRPr="0076527C">
              <w:rPr>
                <w:spacing w:val="-3"/>
              </w:rPr>
              <w:t xml:space="preserve"> </w:t>
            </w:r>
            <w:r w:rsidRPr="0076527C">
              <w:t>discharge</w:t>
            </w:r>
            <w:r w:rsidRPr="0076527C">
              <w:rPr>
                <w:spacing w:val="-3"/>
              </w:rPr>
              <w:t xml:space="preserve"> </w:t>
            </w:r>
            <w:r w:rsidRPr="0076527C">
              <w:t>prevention</w:t>
            </w:r>
            <w:r w:rsidRPr="0076527C">
              <w:rPr>
                <w:spacing w:val="-3"/>
              </w:rPr>
              <w:t xml:space="preserve"> </w:t>
            </w:r>
            <w:r w:rsidRPr="0076527C">
              <w:t>briefings</w:t>
            </w:r>
            <w:r w:rsidRPr="0076527C">
              <w:rPr>
                <w:spacing w:val="-4"/>
              </w:rPr>
              <w:t xml:space="preserve"> </w:t>
            </w:r>
            <w:r w:rsidRPr="0076527C">
              <w:t>are</w:t>
            </w:r>
            <w:r w:rsidRPr="0076527C">
              <w:rPr>
                <w:spacing w:val="-3"/>
              </w:rPr>
              <w:t xml:space="preserve"> </w:t>
            </w:r>
            <w:r w:rsidRPr="007537C1">
              <w:rPr>
                <w:strike/>
                <w:highlight w:val="yellow"/>
              </w:rPr>
              <w:t>documented</w:t>
            </w:r>
            <w:r w:rsidRPr="007537C1">
              <w:rPr>
                <w:strike/>
                <w:spacing w:val="-5"/>
                <w:highlight w:val="yellow"/>
              </w:rPr>
              <w:t xml:space="preserve"> </w:t>
            </w:r>
            <w:r w:rsidRPr="007537C1">
              <w:rPr>
                <w:highlight w:val="yellow"/>
                <w:u w:val="single"/>
              </w:rPr>
              <w:t>maintained</w:t>
            </w:r>
            <w:r w:rsidRPr="009E63A1">
              <w:rPr>
                <w:u w:val="single"/>
              </w:rPr>
              <w:t xml:space="preserve"> </w:t>
            </w:r>
            <w:r w:rsidRPr="0076527C">
              <w:t>for</w:t>
            </w:r>
            <w:r w:rsidRPr="0076527C">
              <w:rPr>
                <w:spacing w:val="-7"/>
              </w:rPr>
              <w:t xml:space="preserve"> </w:t>
            </w:r>
            <w:r w:rsidRPr="0076527C">
              <w:t>a</w:t>
            </w:r>
            <w:r w:rsidRPr="0076527C">
              <w:rPr>
                <w:spacing w:val="-3"/>
              </w:rPr>
              <w:t xml:space="preserve"> </w:t>
            </w:r>
            <w:r w:rsidRPr="0076527C">
              <w:t xml:space="preserve">minimum of </w:t>
            </w:r>
            <w:r w:rsidRPr="007537C1">
              <w:rPr>
                <w:strike/>
                <w:highlight w:val="yellow"/>
              </w:rPr>
              <w:t xml:space="preserve">3 </w:t>
            </w:r>
            <w:r w:rsidRPr="007537C1">
              <w:rPr>
                <w:highlight w:val="yellow"/>
                <w:u w:val="single"/>
              </w:rPr>
              <w:t>three</w:t>
            </w:r>
            <w:r w:rsidRPr="007537C1">
              <w:rPr>
                <w:u w:val="single"/>
              </w:rPr>
              <w:t xml:space="preserve"> </w:t>
            </w:r>
            <w:r w:rsidRPr="0076527C">
              <w:t xml:space="preserve">years. Records of training and discharge prevention briefing kept under usual and customary business practices will suffice for purposes of this </w:t>
            </w:r>
            <w:r w:rsidRPr="0076527C">
              <w:rPr>
                <w:spacing w:val="-2"/>
              </w:rPr>
              <w:t>subsection.</w:t>
            </w:r>
          </w:p>
        </w:tc>
        <w:tc>
          <w:tcPr>
            <w:tcW w:w="3238" w:type="dxa"/>
          </w:tcPr>
          <w:p w14:paraId="5ED426B8" w14:textId="40535477" w:rsidR="009A0302" w:rsidRDefault="00882C6D">
            <w:r w:rsidRPr="00674740">
              <w:t xml:space="preserve">Clarification based on </w:t>
            </w:r>
            <w:r w:rsidR="00CB5027">
              <w:t>original intent</w:t>
            </w:r>
            <w:r w:rsidR="009A0302">
              <w:t>, which was to maintain records</w:t>
            </w:r>
            <w:r w:rsidR="00177D60">
              <w:t xml:space="preserve"> for </w:t>
            </w:r>
            <w:r w:rsidR="005323FF">
              <w:t xml:space="preserve">three </w:t>
            </w:r>
            <w:r w:rsidR="00177D60">
              <w:t>years</w:t>
            </w:r>
            <w:r w:rsidR="00087820">
              <w:t>, not to document records for three years only</w:t>
            </w:r>
            <w:r w:rsidRPr="00674740">
              <w:t xml:space="preserve">.  </w:t>
            </w:r>
            <w:r w:rsidR="001F2A94">
              <w:t>Records are documents</w:t>
            </w:r>
            <w:r w:rsidR="005323FF">
              <w:t>.</w:t>
            </w:r>
          </w:p>
          <w:p w14:paraId="37189A45" w14:textId="77777777" w:rsidR="005323FF" w:rsidRDefault="005323FF"/>
          <w:p w14:paraId="40599C3D" w14:textId="57DC3CE2" w:rsidR="00F6107A" w:rsidRPr="00674740" w:rsidRDefault="00882C6D">
            <w:r w:rsidRPr="00674740">
              <w:t>For consistency, spell out numbers if less than 10 and write the numbers if 10 or higher.</w:t>
            </w:r>
          </w:p>
        </w:tc>
        <w:tc>
          <w:tcPr>
            <w:tcW w:w="4593" w:type="dxa"/>
          </w:tcPr>
          <w:p w14:paraId="48CB9D1C" w14:textId="1FD670E9" w:rsidR="00F6107A" w:rsidRDefault="00E40B40">
            <w:r>
              <w:t>Discussed in June 2025</w:t>
            </w:r>
          </w:p>
        </w:tc>
      </w:tr>
      <w:tr w:rsidR="00C43F8B" w14:paraId="1FE55F5E" w14:textId="77777777" w:rsidTr="00C15C62">
        <w:tc>
          <w:tcPr>
            <w:tcW w:w="1435" w:type="dxa"/>
          </w:tcPr>
          <w:p w14:paraId="6E1453CC" w14:textId="6E727BAE" w:rsidR="00C43F8B" w:rsidRDefault="00FF3DA2">
            <w:r>
              <w:t>1614(d)</w:t>
            </w:r>
          </w:p>
        </w:tc>
        <w:tc>
          <w:tcPr>
            <w:tcW w:w="5039" w:type="dxa"/>
          </w:tcPr>
          <w:p w14:paraId="1CDFB9D7" w14:textId="491FBFF4" w:rsidR="00C43F8B" w:rsidRDefault="005A7239">
            <w:r w:rsidRPr="0076527C">
              <w:t>Sections 1614(a)(2), 1614(a)(3), and 1614(a)(4) shall not apply to any owner or operator</w:t>
            </w:r>
            <w:r w:rsidRPr="0076527C">
              <w:rPr>
                <w:spacing w:val="-3"/>
              </w:rPr>
              <w:t xml:space="preserve"> </w:t>
            </w:r>
            <w:r w:rsidRPr="0076527C">
              <w:t>of</w:t>
            </w:r>
            <w:r w:rsidRPr="0076527C">
              <w:rPr>
                <w:spacing w:val="-4"/>
              </w:rPr>
              <w:t xml:space="preserve"> </w:t>
            </w:r>
            <w:r w:rsidRPr="0076527C">
              <w:t>a</w:t>
            </w:r>
            <w:r w:rsidRPr="0076527C">
              <w:rPr>
                <w:spacing w:val="-2"/>
              </w:rPr>
              <w:t xml:space="preserve"> </w:t>
            </w:r>
            <w:r w:rsidRPr="0076527C">
              <w:t>tank</w:t>
            </w:r>
            <w:r w:rsidRPr="0076527C">
              <w:rPr>
                <w:spacing w:val="-4"/>
              </w:rPr>
              <w:t xml:space="preserve"> </w:t>
            </w:r>
            <w:r w:rsidRPr="0076527C">
              <w:t>facility</w:t>
            </w:r>
            <w:r w:rsidRPr="0076527C">
              <w:rPr>
                <w:spacing w:val="-3"/>
              </w:rPr>
              <w:t xml:space="preserve"> </w:t>
            </w:r>
            <w:r w:rsidRPr="0076527C">
              <w:t>that</w:t>
            </w:r>
            <w:r w:rsidRPr="0076527C">
              <w:rPr>
                <w:spacing w:val="-4"/>
              </w:rPr>
              <w:t xml:space="preserve"> </w:t>
            </w:r>
            <w:r w:rsidRPr="0076527C">
              <w:t>meets</w:t>
            </w:r>
            <w:r w:rsidRPr="0076527C">
              <w:rPr>
                <w:spacing w:val="-4"/>
              </w:rPr>
              <w:t xml:space="preserve"> </w:t>
            </w:r>
            <w:r w:rsidRPr="0076527C">
              <w:t>the</w:t>
            </w:r>
            <w:r w:rsidRPr="0076527C">
              <w:rPr>
                <w:spacing w:val="-2"/>
              </w:rPr>
              <w:t xml:space="preserve"> </w:t>
            </w:r>
            <w:r w:rsidRPr="0076527C">
              <w:t>requirements</w:t>
            </w:r>
            <w:r w:rsidRPr="0076527C">
              <w:rPr>
                <w:spacing w:val="-4"/>
              </w:rPr>
              <w:t xml:space="preserve"> </w:t>
            </w:r>
            <w:r w:rsidRPr="0076527C">
              <w:t>of</w:t>
            </w:r>
            <w:r w:rsidRPr="0076527C">
              <w:rPr>
                <w:spacing w:val="-2"/>
              </w:rPr>
              <w:t xml:space="preserve"> </w:t>
            </w:r>
            <w:r w:rsidRPr="0076527C">
              <w:t>HSC</w:t>
            </w:r>
            <w:r w:rsidRPr="0076527C">
              <w:rPr>
                <w:spacing w:val="-3"/>
              </w:rPr>
              <w:t xml:space="preserve"> </w:t>
            </w:r>
            <w:r w:rsidRPr="0076527C">
              <w:t>Section</w:t>
            </w:r>
            <w:r w:rsidRPr="0076527C">
              <w:rPr>
                <w:spacing w:val="-2"/>
              </w:rPr>
              <w:t xml:space="preserve"> </w:t>
            </w:r>
            <w:r w:rsidRPr="0076527C">
              <w:t>25270.4.</w:t>
            </w:r>
            <w:r w:rsidRPr="005A7239">
              <w:rPr>
                <w:highlight w:val="yellow"/>
              </w:rPr>
              <w:t>5</w:t>
            </w:r>
            <w:r w:rsidRPr="005A7239">
              <w:rPr>
                <w:strike/>
                <w:spacing w:val="-2"/>
                <w:highlight w:val="yellow"/>
              </w:rPr>
              <w:t xml:space="preserve"> </w:t>
            </w:r>
            <w:r w:rsidRPr="005A7239">
              <w:rPr>
                <w:highlight w:val="yellow"/>
              </w:rPr>
              <w:t>(</w:t>
            </w:r>
            <w:r w:rsidRPr="0076527C">
              <w:t>b).</w:t>
            </w:r>
          </w:p>
        </w:tc>
        <w:tc>
          <w:tcPr>
            <w:tcW w:w="3238" w:type="dxa"/>
          </w:tcPr>
          <w:p w14:paraId="4DE922FA" w14:textId="47ECB686" w:rsidR="00C43F8B" w:rsidRPr="00674740" w:rsidRDefault="0073305C">
            <w:r w:rsidRPr="00674740">
              <w:t>Delete space between 25270.4.5 and (b) for consistency with other referenced citations.</w:t>
            </w:r>
          </w:p>
        </w:tc>
        <w:tc>
          <w:tcPr>
            <w:tcW w:w="4593" w:type="dxa"/>
          </w:tcPr>
          <w:p w14:paraId="03EFC1AB" w14:textId="2B1D4D98" w:rsidR="00C43F8B" w:rsidRDefault="00E40B40">
            <w:r>
              <w:t>Discussed in June 2025</w:t>
            </w:r>
          </w:p>
        </w:tc>
      </w:tr>
      <w:tr w:rsidR="00FF3DA2" w14:paraId="0CCBAC86" w14:textId="77777777" w:rsidTr="00C15C62">
        <w:tc>
          <w:tcPr>
            <w:tcW w:w="1435" w:type="dxa"/>
          </w:tcPr>
          <w:p w14:paraId="17F876EA" w14:textId="0A0055A9" w:rsidR="00FF3DA2" w:rsidRDefault="00BD4C0E">
            <w:r>
              <w:t>1615(a)</w:t>
            </w:r>
          </w:p>
        </w:tc>
        <w:tc>
          <w:tcPr>
            <w:tcW w:w="5039" w:type="dxa"/>
          </w:tcPr>
          <w:p w14:paraId="31F6AFF9" w14:textId="5798F0B4" w:rsidR="00FF3DA2" w:rsidRDefault="00684702" w:rsidP="00721C6F">
            <w:pPr>
              <w:widowControl w:val="0"/>
              <w:tabs>
                <w:tab w:val="left" w:pos="383"/>
              </w:tabs>
              <w:autoSpaceDE w:val="0"/>
              <w:autoSpaceDN w:val="0"/>
            </w:pPr>
            <w:r w:rsidRPr="0076527C">
              <w:t>UPA staff who inspect tank facilities for SPCC Plan compliance must obtain at least</w:t>
            </w:r>
            <w:r w:rsidRPr="00721C6F">
              <w:rPr>
                <w:spacing w:val="-2"/>
              </w:rPr>
              <w:t xml:space="preserve"> </w:t>
            </w:r>
            <w:r w:rsidRPr="00721C6F">
              <w:rPr>
                <w:strike/>
                <w:highlight w:val="yellow"/>
              </w:rPr>
              <w:t>6</w:t>
            </w:r>
            <w:r w:rsidRPr="00721C6F">
              <w:rPr>
                <w:spacing w:val="-4"/>
                <w:highlight w:val="yellow"/>
                <w:u w:val="single"/>
              </w:rPr>
              <w:t xml:space="preserve"> six</w:t>
            </w:r>
            <w:r w:rsidRPr="00721C6F">
              <w:rPr>
                <w:spacing w:val="-4"/>
                <w:u w:val="single"/>
              </w:rPr>
              <w:t xml:space="preserve"> </w:t>
            </w:r>
            <w:r w:rsidRPr="0076527C">
              <w:t>hours</w:t>
            </w:r>
            <w:r w:rsidRPr="00721C6F">
              <w:rPr>
                <w:spacing w:val="-3"/>
              </w:rPr>
              <w:t xml:space="preserve"> </w:t>
            </w:r>
            <w:r w:rsidRPr="0076527C">
              <w:t>of</w:t>
            </w:r>
            <w:r w:rsidRPr="00721C6F">
              <w:rPr>
                <w:spacing w:val="-2"/>
              </w:rPr>
              <w:t xml:space="preserve"> </w:t>
            </w:r>
            <w:r w:rsidRPr="0076527C">
              <w:t>refresher</w:t>
            </w:r>
            <w:r w:rsidRPr="00721C6F">
              <w:rPr>
                <w:spacing w:val="-4"/>
              </w:rPr>
              <w:t xml:space="preserve"> </w:t>
            </w:r>
            <w:r w:rsidRPr="0076527C">
              <w:t>training</w:t>
            </w:r>
            <w:r w:rsidRPr="00721C6F">
              <w:rPr>
                <w:spacing w:val="-4"/>
              </w:rPr>
              <w:t xml:space="preserve"> </w:t>
            </w:r>
            <w:r w:rsidRPr="0076527C">
              <w:t>every</w:t>
            </w:r>
            <w:r w:rsidRPr="00721C6F">
              <w:rPr>
                <w:spacing w:val="-5"/>
              </w:rPr>
              <w:t xml:space="preserve"> </w:t>
            </w:r>
            <w:r w:rsidRPr="00721C6F">
              <w:rPr>
                <w:strike/>
                <w:highlight w:val="yellow"/>
              </w:rPr>
              <w:t>3</w:t>
            </w:r>
            <w:r w:rsidRPr="00721C6F">
              <w:rPr>
                <w:strike/>
                <w:spacing w:val="-2"/>
                <w:highlight w:val="yellow"/>
              </w:rPr>
              <w:t xml:space="preserve"> </w:t>
            </w:r>
            <w:r w:rsidRPr="00721C6F">
              <w:rPr>
                <w:spacing w:val="-2"/>
                <w:highlight w:val="yellow"/>
                <w:u w:val="single"/>
              </w:rPr>
              <w:t>three</w:t>
            </w:r>
            <w:r w:rsidRPr="00721C6F">
              <w:rPr>
                <w:spacing w:val="-2"/>
                <w:u w:val="single"/>
              </w:rPr>
              <w:t xml:space="preserve"> </w:t>
            </w:r>
            <w:r w:rsidRPr="0076527C">
              <w:t>years.</w:t>
            </w:r>
            <w:r w:rsidRPr="00721C6F">
              <w:rPr>
                <w:spacing w:val="-2"/>
              </w:rPr>
              <w:t xml:space="preserve"> </w:t>
            </w:r>
            <w:r w:rsidRPr="0076527C">
              <w:t>The</w:t>
            </w:r>
            <w:r w:rsidRPr="00721C6F">
              <w:rPr>
                <w:spacing w:val="-4"/>
              </w:rPr>
              <w:t xml:space="preserve"> </w:t>
            </w:r>
            <w:r w:rsidRPr="00721C6F">
              <w:rPr>
                <w:highlight w:val="yellow"/>
              </w:rPr>
              <w:t>3</w:t>
            </w:r>
            <w:r w:rsidRPr="00721C6F">
              <w:rPr>
                <w:strike/>
              </w:rPr>
              <w:t xml:space="preserve"> </w:t>
            </w:r>
            <w:r w:rsidRPr="0076527C">
              <w:t>-year</w:t>
            </w:r>
            <w:r w:rsidRPr="00721C6F">
              <w:rPr>
                <w:spacing w:val="-4"/>
              </w:rPr>
              <w:t xml:space="preserve"> </w:t>
            </w:r>
            <w:r w:rsidRPr="0076527C">
              <w:t>cycle</w:t>
            </w:r>
            <w:r w:rsidRPr="00721C6F">
              <w:rPr>
                <w:spacing w:val="-4"/>
              </w:rPr>
              <w:t xml:space="preserve"> </w:t>
            </w:r>
            <w:r w:rsidRPr="0076527C">
              <w:t>begins</w:t>
            </w:r>
            <w:r w:rsidRPr="00721C6F">
              <w:rPr>
                <w:spacing w:val="-3"/>
              </w:rPr>
              <w:t xml:space="preserve"> </w:t>
            </w:r>
            <w:r w:rsidRPr="0076527C">
              <w:t>from</w:t>
            </w:r>
            <w:r w:rsidRPr="00721C6F">
              <w:rPr>
                <w:spacing w:val="-1"/>
              </w:rPr>
              <w:t xml:space="preserve"> </w:t>
            </w:r>
            <w:r w:rsidRPr="0076527C">
              <w:t>the date</w:t>
            </w:r>
            <w:r w:rsidRPr="00721C6F">
              <w:rPr>
                <w:spacing w:val="-2"/>
              </w:rPr>
              <w:t xml:space="preserve"> </w:t>
            </w:r>
            <w:r w:rsidRPr="0076527C">
              <w:t>of</w:t>
            </w:r>
            <w:r w:rsidRPr="00721C6F">
              <w:rPr>
                <w:spacing w:val="-3"/>
              </w:rPr>
              <w:t xml:space="preserve"> </w:t>
            </w:r>
            <w:r w:rsidRPr="0076527C">
              <w:t>the</w:t>
            </w:r>
            <w:r w:rsidRPr="00721C6F">
              <w:rPr>
                <w:spacing w:val="-2"/>
              </w:rPr>
              <w:t xml:space="preserve"> </w:t>
            </w:r>
            <w:r w:rsidRPr="0076527C">
              <w:t>completion</w:t>
            </w:r>
            <w:r w:rsidRPr="00721C6F">
              <w:rPr>
                <w:spacing w:val="-2"/>
              </w:rPr>
              <w:t xml:space="preserve"> </w:t>
            </w:r>
            <w:r w:rsidRPr="0076527C">
              <w:t>of the training required</w:t>
            </w:r>
            <w:r w:rsidRPr="00721C6F">
              <w:rPr>
                <w:spacing w:val="-2"/>
              </w:rPr>
              <w:t xml:space="preserve"> </w:t>
            </w:r>
            <w:r w:rsidRPr="0076527C">
              <w:t>by</w:t>
            </w:r>
            <w:r w:rsidRPr="00721C6F">
              <w:rPr>
                <w:spacing w:val="-1"/>
              </w:rPr>
              <w:t xml:space="preserve"> </w:t>
            </w:r>
            <w:r w:rsidRPr="0076527C">
              <w:t>HSC</w:t>
            </w:r>
            <w:r w:rsidRPr="00721C6F">
              <w:rPr>
                <w:spacing w:val="-1"/>
              </w:rPr>
              <w:t xml:space="preserve"> </w:t>
            </w:r>
            <w:r w:rsidRPr="0076527C">
              <w:t>Section</w:t>
            </w:r>
            <w:r w:rsidRPr="00721C6F">
              <w:rPr>
                <w:spacing w:val="-2"/>
              </w:rPr>
              <w:t xml:space="preserve"> </w:t>
            </w:r>
            <w:r w:rsidRPr="0076527C">
              <w:t>25270.5</w:t>
            </w:r>
            <w:r w:rsidRPr="00721C6F">
              <w:rPr>
                <w:strike/>
                <w:highlight w:val="yellow"/>
              </w:rPr>
              <w:t>.</w:t>
            </w:r>
            <w:r w:rsidRPr="0076527C">
              <w:t>(c)</w:t>
            </w:r>
            <w:r w:rsidRPr="00721C6F">
              <w:rPr>
                <w:spacing w:val="-2"/>
              </w:rPr>
              <w:t xml:space="preserve"> </w:t>
            </w:r>
            <w:r w:rsidRPr="0076527C">
              <w:t>or</w:t>
            </w:r>
            <w:r w:rsidRPr="00721C6F">
              <w:rPr>
                <w:spacing w:val="-2"/>
              </w:rPr>
              <w:t xml:space="preserve"> </w:t>
            </w:r>
            <w:r w:rsidRPr="0076527C">
              <w:t>from</w:t>
            </w:r>
            <w:r>
              <w:t xml:space="preserve"> </w:t>
            </w:r>
            <w:r w:rsidRPr="0076527C">
              <w:t>December</w:t>
            </w:r>
            <w:r w:rsidRPr="00721C6F">
              <w:rPr>
                <w:spacing w:val="-2"/>
              </w:rPr>
              <w:t xml:space="preserve"> </w:t>
            </w:r>
            <w:r w:rsidRPr="0076527C">
              <w:t>17,</w:t>
            </w:r>
            <w:r w:rsidRPr="00721C6F">
              <w:rPr>
                <w:spacing w:val="-2"/>
              </w:rPr>
              <w:t xml:space="preserve"> </w:t>
            </w:r>
            <w:r w:rsidRPr="0076527C">
              <w:t>2024,</w:t>
            </w:r>
            <w:r w:rsidRPr="00721C6F">
              <w:rPr>
                <w:spacing w:val="1"/>
              </w:rPr>
              <w:t xml:space="preserve"> </w:t>
            </w:r>
            <w:r w:rsidRPr="0076527C">
              <w:t>whichever</w:t>
            </w:r>
            <w:r w:rsidRPr="00721C6F">
              <w:rPr>
                <w:spacing w:val="-1"/>
              </w:rPr>
              <w:t xml:space="preserve"> </w:t>
            </w:r>
            <w:r w:rsidRPr="0076527C">
              <w:t>is</w:t>
            </w:r>
            <w:r w:rsidRPr="00721C6F">
              <w:rPr>
                <w:spacing w:val="-2"/>
              </w:rPr>
              <w:t xml:space="preserve"> </w:t>
            </w:r>
            <w:r w:rsidRPr="0076527C">
              <w:t>more</w:t>
            </w:r>
            <w:r w:rsidRPr="00721C6F">
              <w:rPr>
                <w:spacing w:val="-1"/>
              </w:rPr>
              <w:t xml:space="preserve"> </w:t>
            </w:r>
            <w:r w:rsidRPr="00721C6F">
              <w:rPr>
                <w:spacing w:val="-2"/>
              </w:rPr>
              <w:t>recent.</w:t>
            </w:r>
          </w:p>
        </w:tc>
        <w:tc>
          <w:tcPr>
            <w:tcW w:w="3238" w:type="dxa"/>
          </w:tcPr>
          <w:p w14:paraId="5FC9A970" w14:textId="7D9553E3" w:rsidR="00FF3DA2" w:rsidRPr="00674740" w:rsidRDefault="000D129E">
            <w:r w:rsidRPr="00674740">
              <w:rPr>
                <w:spacing w:val="-2"/>
              </w:rPr>
              <w:t>Spell out numbers if less than 10 and use the number if 10 or higher. Exception is when the number is followed by a hyphen. Remove extra space between 3 and -year for proper structure.  Remove unnecessary period</w:t>
            </w:r>
            <w:r w:rsidR="004A1630" w:rsidRPr="00674740">
              <w:rPr>
                <w:spacing w:val="-2"/>
              </w:rPr>
              <w:t xml:space="preserve"> (typo error)</w:t>
            </w:r>
            <w:r w:rsidRPr="00674740">
              <w:rPr>
                <w:spacing w:val="-2"/>
              </w:rPr>
              <w:t xml:space="preserve"> between 25270.5 and (c).</w:t>
            </w:r>
          </w:p>
        </w:tc>
        <w:tc>
          <w:tcPr>
            <w:tcW w:w="4593" w:type="dxa"/>
          </w:tcPr>
          <w:p w14:paraId="5676208D" w14:textId="1A2A0A1A" w:rsidR="00FF3DA2" w:rsidRDefault="00E40B40">
            <w:r>
              <w:t>Discussed in June 2025</w:t>
            </w:r>
          </w:p>
        </w:tc>
      </w:tr>
      <w:tr w:rsidR="00721C6F" w14:paraId="357EF5C1" w14:textId="77777777" w:rsidTr="00C15C62">
        <w:tc>
          <w:tcPr>
            <w:tcW w:w="1435" w:type="dxa"/>
          </w:tcPr>
          <w:p w14:paraId="66928923" w14:textId="77128472" w:rsidR="00721C6F" w:rsidRDefault="00D53912">
            <w:r>
              <w:t>1615(c)</w:t>
            </w:r>
          </w:p>
        </w:tc>
        <w:tc>
          <w:tcPr>
            <w:tcW w:w="5039" w:type="dxa"/>
          </w:tcPr>
          <w:p w14:paraId="1EA3FD7A" w14:textId="7C1442B1" w:rsidR="00721C6F" w:rsidRPr="0076527C" w:rsidRDefault="00F30135" w:rsidP="00721C6F">
            <w:pPr>
              <w:widowControl w:val="0"/>
              <w:tabs>
                <w:tab w:val="left" w:pos="383"/>
              </w:tabs>
              <w:autoSpaceDE w:val="0"/>
              <w:autoSpaceDN w:val="0"/>
            </w:pPr>
            <w:r w:rsidRPr="0076527C">
              <w:t>UPA staff who only inspect tank facilities that meet the requirements of HSC Section</w:t>
            </w:r>
            <w:r w:rsidRPr="0076527C">
              <w:rPr>
                <w:spacing w:val="-4"/>
              </w:rPr>
              <w:t xml:space="preserve"> </w:t>
            </w:r>
            <w:r w:rsidRPr="0076527C">
              <w:t>25270.4.</w:t>
            </w:r>
            <w:r w:rsidRPr="007537C1">
              <w:rPr>
                <w:highlight w:val="yellow"/>
              </w:rPr>
              <w:t>5</w:t>
            </w:r>
            <w:r w:rsidRPr="007537C1">
              <w:rPr>
                <w:strike/>
                <w:spacing w:val="-2"/>
                <w:highlight w:val="yellow"/>
              </w:rPr>
              <w:t xml:space="preserve"> </w:t>
            </w:r>
            <w:r w:rsidRPr="007537C1">
              <w:rPr>
                <w:highlight w:val="yellow"/>
              </w:rPr>
              <w:t>(</w:t>
            </w:r>
            <w:r w:rsidRPr="0076527C">
              <w:t>b)</w:t>
            </w:r>
            <w:r w:rsidRPr="0076527C">
              <w:rPr>
                <w:spacing w:val="-6"/>
              </w:rPr>
              <w:t xml:space="preserve"> </w:t>
            </w:r>
            <w:r w:rsidRPr="0076527C">
              <w:t>are</w:t>
            </w:r>
            <w:r w:rsidRPr="0076527C">
              <w:rPr>
                <w:spacing w:val="-2"/>
              </w:rPr>
              <w:t xml:space="preserve"> </w:t>
            </w:r>
            <w:r w:rsidRPr="0076527C">
              <w:t>not</w:t>
            </w:r>
            <w:r w:rsidRPr="0076527C">
              <w:rPr>
                <w:spacing w:val="-2"/>
              </w:rPr>
              <w:t xml:space="preserve"> </w:t>
            </w:r>
            <w:r w:rsidRPr="0076527C">
              <w:t>subject</w:t>
            </w:r>
            <w:r w:rsidRPr="0076527C">
              <w:rPr>
                <w:spacing w:val="-2"/>
              </w:rPr>
              <w:t xml:space="preserve"> </w:t>
            </w:r>
            <w:r w:rsidRPr="0076527C">
              <w:t>to</w:t>
            </w:r>
            <w:r w:rsidRPr="0076527C">
              <w:rPr>
                <w:spacing w:val="-2"/>
              </w:rPr>
              <w:t xml:space="preserve"> </w:t>
            </w:r>
            <w:r w:rsidRPr="0076527C">
              <w:t>the</w:t>
            </w:r>
            <w:r w:rsidRPr="0076527C">
              <w:rPr>
                <w:spacing w:val="-2"/>
              </w:rPr>
              <w:t xml:space="preserve"> </w:t>
            </w:r>
            <w:r w:rsidRPr="0076527C">
              <w:t>training</w:t>
            </w:r>
            <w:r w:rsidRPr="0076527C">
              <w:rPr>
                <w:spacing w:val="-2"/>
              </w:rPr>
              <w:t xml:space="preserve"> </w:t>
            </w:r>
            <w:r w:rsidRPr="0076527C">
              <w:t>requirements</w:t>
            </w:r>
            <w:r w:rsidRPr="0076527C">
              <w:rPr>
                <w:spacing w:val="-3"/>
              </w:rPr>
              <w:t xml:space="preserve"> </w:t>
            </w:r>
            <w:r w:rsidRPr="0076527C">
              <w:t>in</w:t>
            </w:r>
            <w:r w:rsidRPr="0076527C">
              <w:rPr>
                <w:spacing w:val="-4"/>
              </w:rPr>
              <w:t xml:space="preserve"> </w:t>
            </w:r>
            <w:r w:rsidRPr="0076527C">
              <w:t>Section</w:t>
            </w:r>
            <w:r w:rsidRPr="0076527C">
              <w:rPr>
                <w:spacing w:val="-4"/>
              </w:rPr>
              <w:t xml:space="preserve"> </w:t>
            </w:r>
            <w:r w:rsidRPr="0076527C">
              <w:t>1615.</w:t>
            </w:r>
          </w:p>
        </w:tc>
        <w:tc>
          <w:tcPr>
            <w:tcW w:w="3238" w:type="dxa"/>
          </w:tcPr>
          <w:p w14:paraId="143FEB2B" w14:textId="3C0F1496" w:rsidR="00721C6F" w:rsidRPr="00674740" w:rsidRDefault="004F1116">
            <w:pPr>
              <w:rPr>
                <w:spacing w:val="-2"/>
              </w:rPr>
            </w:pPr>
            <w:r w:rsidRPr="00674740">
              <w:t>Remove extra space between 25270.4.5 and (b) for consistency with other referenced citations.</w:t>
            </w:r>
          </w:p>
        </w:tc>
        <w:tc>
          <w:tcPr>
            <w:tcW w:w="4593" w:type="dxa"/>
          </w:tcPr>
          <w:p w14:paraId="732D8CC9" w14:textId="54B6E4C4" w:rsidR="00721C6F" w:rsidRDefault="00E40B40">
            <w:r>
              <w:t>Discussed in June 2025</w:t>
            </w:r>
          </w:p>
        </w:tc>
      </w:tr>
      <w:tr w:rsidR="009304D6" w14:paraId="7413BF92" w14:textId="77777777" w:rsidTr="00C15C62">
        <w:tc>
          <w:tcPr>
            <w:tcW w:w="1435" w:type="dxa"/>
          </w:tcPr>
          <w:p w14:paraId="12FEA873" w14:textId="243B99B5" w:rsidR="009304D6" w:rsidRDefault="009304D6">
            <w:r>
              <w:t>1616</w:t>
            </w:r>
          </w:p>
        </w:tc>
        <w:tc>
          <w:tcPr>
            <w:tcW w:w="5039" w:type="dxa"/>
          </w:tcPr>
          <w:p w14:paraId="4E90FA1A" w14:textId="3BB42F56" w:rsidR="009304D6" w:rsidRPr="0076527C" w:rsidRDefault="00121093" w:rsidP="00721C6F">
            <w:pPr>
              <w:widowControl w:val="0"/>
              <w:tabs>
                <w:tab w:val="left" w:pos="383"/>
              </w:tabs>
              <w:autoSpaceDE w:val="0"/>
              <w:autoSpaceDN w:val="0"/>
            </w:pPr>
            <w:r w:rsidRPr="0076527C">
              <w:t>The UPA shall notify the Regional Water Quality Control Board if the UPA has determined that cleanup or abatement of a release from an aboveground storage tank at a tank facility is required, or additional investigation is necessary to determine if cleanup is required</w:t>
            </w:r>
            <w:r w:rsidRPr="00DB0DA1">
              <w:rPr>
                <w:strike/>
                <w:highlight w:val="yellow"/>
              </w:rPr>
              <w:t>,</w:t>
            </w:r>
            <w:r w:rsidRPr="00DB0DA1">
              <w:rPr>
                <w:highlight w:val="yellow"/>
                <w:u w:val="single"/>
              </w:rPr>
              <w:t>.</w:t>
            </w:r>
            <w:r w:rsidRPr="00DB0DA1">
              <w:rPr>
                <w:highlight w:val="yellow"/>
              </w:rPr>
              <w:t xml:space="preserve"> </w:t>
            </w:r>
            <w:r w:rsidRPr="00DB0DA1">
              <w:rPr>
                <w:strike/>
                <w:highlight w:val="yellow"/>
              </w:rPr>
              <w:lastRenderedPageBreak/>
              <w:t xml:space="preserve">the </w:t>
            </w:r>
            <w:r w:rsidRPr="00DB0DA1">
              <w:rPr>
                <w:highlight w:val="yellow"/>
                <w:u w:val="single"/>
              </w:rPr>
              <w:t>The</w:t>
            </w:r>
            <w:r w:rsidRPr="0076527C">
              <w:t xml:space="preserve"> UPA shall coordinate with the Regional Water Quality</w:t>
            </w:r>
            <w:r w:rsidRPr="0076527C">
              <w:rPr>
                <w:spacing w:val="-5"/>
              </w:rPr>
              <w:t xml:space="preserve"> </w:t>
            </w:r>
            <w:r w:rsidRPr="0076527C">
              <w:t>Control</w:t>
            </w:r>
            <w:r w:rsidRPr="0076527C">
              <w:rPr>
                <w:spacing w:val="-5"/>
              </w:rPr>
              <w:t xml:space="preserve"> </w:t>
            </w:r>
            <w:r w:rsidRPr="0076527C">
              <w:t>Board</w:t>
            </w:r>
            <w:r w:rsidRPr="0076527C">
              <w:rPr>
                <w:spacing w:val="-4"/>
              </w:rPr>
              <w:t xml:space="preserve"> </w:t>
            </w:r>
            <w:r w:rsidRPr="0076527C">
              <w:t>regarding</w:t>
            </w:r>
            <w:r w:rsidRPr="0076527C">
              <w:rPr>
                <w:spacing w:val="-4"/>
              </w:rPr>
              <w:t xml:space="preserve"> </w:t>
            </w:r>
            <w:r w:rsidRPr="0076527C">
              <w:t>the</w:t>
            </w:r>
            <w:r w:rsidRPr="0076527C">
              <w:rPr>
                <w:spacing w:val="-4"/>
              </w:rPr>
              <w:t xml:space="preserve"> </w:t>
            </w:r>
            <w:r w:rsidRPr="0076527C">
              <w:t>investigation,</w:t>
            </w:r>
            <w:r w:rsidRPr="0076527C">
              <w:rPr>
                <w:spacing w:val="-4"/>
              </w:rPr>
              <w:t xml:space="preserve"> </w:t>
            </w:r>
            <w:r w:rsidRPr="0076527C">
              <w:t>cleanup,</w:t>
            </w:r>
            <w:r w:rsidRPr="0076527C">
              <w:rPr>
                <w:spacing w:val="-4"/>
              </w:rPr>
              <w:t xml:space="preserve"> </w:t>
            </w:r>
            <w:r w:rsidRPr="0076527C">
              <w:t>and</w:t>
            </w:r>
            <w:r w:rsidRPr="0076527C">
              <w:rPr>
                <w:spacing w:val="-6"/>
              </w:rPr>
              <w:t xml:space="preserve"> </w:t>
            </w:r>
            <w:r w:rsidRPr="0076527C">
              <w:t>abatement</w:t>
            </w:r>
            <w:r w:rsidRPr="0076527C">
              <w:rPr>
                <w:spacing w:val="-7"/>
              </w:rPr>
              <w:t xml:space="preserve"> </w:t>
            </w:r>
            <w:r w:rsidRPr="0076527C">
              <w:t>activities.</w:t>
            </w:r>
          </w:p>
        </w:tc>
        <w:tc>
          <w:tcPr>
            <w:tcW w:w="3238" w:type="dxa"/>
          </w:tcPr>
          <w:p w14:paraId="2AD7855F" w14:textId="4FBB1C5C" w:rsidR="009304D6" w:rsidRPr="00674740" w:rsidRDefault="00DB2578">
            <w:r w:rsidRPr="00674740">
              <w:lastRenderedPageBreak/>
              <w:t>Clarification and separate different statements into separate sentences.</w:t>
            </w:r>
          </w:p>
        </w:tc>
        <w:tc>
          <w:tcPr>
            <w:tcW w:w="4593" w:type="dxa"/>
          </w:tcPr>
          <w:p w14:paraId="292463C2" w14:textId="43EF0842" w:rsidR="009304D6" w:rsidRDefault="00E40B40">
            <w:r>
              <w:t>Discussed in June 2025</w:t>
            </w:r>
          </w:p>
        </w:tc>
      </w:tr>
    </w:tbl>
    <w:p w14:paraId="5C2CA9BA" w14:textId="77777777" w:rsidR="00C43F8B" w:rsidRDefault="00C43F8B"/>
    <w:p w14:paraId="4A9EF436" w14:textId="77777777" w:rsidR="00034C71" w:rsidRDefault="00034C71">
      <w:r>
        <w:br w:type="page"/>
      </w:r>
    </w:p>
    <w:p w14:paraId="23B58363" w14:textId="1FCCB69E" w:rsidR="00C43F8B" w:rsidRDefault="00D538CC">
      <w:pPr>
        <w:rPr>
          <w:b/>
          <w:bCs/>
        </w:rPr>
      </w:pPr>
      <w:r>
        <w:rPr>
          <w:b/>
          <w:bCs/>
        </w:rPr>
        <w:lastRenderedPageBreak/>
        <w:t>Other</w:t>
      </w:r>
      <w:r w:rsidRPr="00034C71">
        <w:rPr>
          <w:b/>
          <w:bCs/>
        </w:rPr>
        <w:t xml:space="preserve"> </w:t>
      </w:r>
      <w:r w:rsidR="00C43F8B" w:rsidRPr="00034C71">
        <w:rPr>
          <w:b/>
          <w:bCs/>
        </w:rPr>
        <w:t>Ideas and Proposals</w:t>
      </w:r>
      <w:r w:rsidR="00BB245E">
        <w:rPr>
          <w:b/>
          <w:bCs/>
        </w:rPr>
        <w:t xml:space="preserve"> for CCR Title 19, Division 1, Chapter 11</w:t>
      </w:r>
    </w:p>
    <w:tbl>
      <w:tblPr>
        <w:tblStyle w:val="TableGrid"/>
        <w:tblW w:w="0" w:type="auto"/>
        <w:tblLook w:val="04A0" w:firstRow="1" w:lastRow="0" w:firstColumn="1" w:lastColumn="0" w:noHBand="0" w:noVBand="1"/>
      </w:tblPr>
      <w:tblGrid>
        <w:gridCol w:w="1435"/>
        <w:gridCol w:w="5039"/>
        <w:gridCol w:w="3238"/>
        <w:gridCol w:w="4593"/>
      </w:tblGrid>
      <w:tr w:rsidR="00956DC6" w14:paraId="530D79EC" w14:textId="77777777" w:rsidTr="00C15C62">
        <w:tc>
          <w:tcPr>
            <w:tcW w:w="1435" w:type="dxa"/>
          </w:tcPr>
          <w:p w14:paraId="2599FA3F" w14:textId="332A0377" w:rsidR="00956DC6" w:rsidRDefault="00526E7D">
            <w:pPr>
              <w:rPr>
                <w:b/>
                <w:bCs/>
              </w:rPr>
            </w:pPr>
            <w:r>
              <w:rPr>
                <w:b/>
                <w:bCs/>
              </w:rPr>
              <w:t>Reference</w:t>
            </w:r>
          </w:p>
        </w:tc>
        <w:tc>
          <w:tcPr>
            <w:tcW w:w="5039" w:type="dxa"/>
          </w:tcPr>
          <w:p w14:paraId="1F21FEAF" w14:textId="3380180B" w:rsidR="00956DC6" w:rsidRDefault="00586217">
            <w:pPr>
              <w:rPr>
                <w:b/>
                <w:bCs/>
              </w:rPr>
            </w:pPr>
            <w:r>
              <w:rPr>
                <w:b/>
                <w:bCs/>
              </w:rPr>
              <w:t>Idea or Proposal</w:t>
            </w:r>
          </w:p>
        </w:tc>
        <w:tc>
          <w:tcPr>
            <w:tcW w:w="3238" w:type="dxa"/>
          </w:tcPr>
          <w:p w14:paraId="76343119" w14:textId="4B0E5F5B" w:rsidR="00956DC6" w:rsidRDefault="00586217">
            <w:pPr>
              <w:rPr>
                <w:b/>
                <w:bCs/>
              </w:rPr>
            </w:pPr>
            <w:r>
              <w:rPr>
                <w:b/>
                <w:bCs/>
              </w:rPr>
              <w:t>Justification</w:t>
            </w:r>
          </w:p>
        </w:tc>
        <w:tc>
          <w:tcPr>
            <w:tcW w:w="4593" w:type="dxa"/>
          </w:tcPr>
          <w:p w14:paraId="4B4C8EC2" w14:textId="4AD3C872" w:rsidR="00956DC6" w:rsidRDefault="00586217">
            <w:pPr>
              <w:rPr>
                <w:b/>
                <w:bCs/>
              </w:rPr>
            </w:pPr>
            <w:r>
              <w:rPr>
                <w:b/>
                <w:bCs/>
              </w:rPr>
              <w:t>Advisory Committee Notes</w:t>
            </w:r>
          </w:p>
        </w:tc>
      </w:tr>
      <w:tr w:rsidR="00956DC6" w:rsidRPr="00586217" w14:paraId="23E1D079" w14:textId="77777777" w:rsidTr="00C15C62">
        <w:tc>
          <w:tcPr>
            <w:tcW w:w="1435" w:type="dxa"/>
          </w:tcPr>
          <w:p w14:paraId="470B3D95" w14:textId="325513D4" w:rsidR="00956DC6" w:rsidRPr="00586217" w:rsidRDefault="00A838D6">
            <w:r>
              <w:t>40 CFR 112.8(d)(3)</w:t>
            </w:r>
          </w:p>
        </w:tc>
        <w:tc>
          <w:tcPr>
            <w:tcW w:w="5039" w:type="dxa"/>
          </w:tcPr>
          <w:p w14:paraId="506C3F9F" w14:textId="77777777" w:rsidR="00956DC6" w:rsidRDefault="00A838D6">
            <w:r>
              <w:t xml:space="preserve">112.8(d)(3) - </w:t>
            </w:r>
            <w:r w:rsidRPr="003C2C57">
              <w:rPr>
                <w:i/>
                <w:iCs/>
              </w:rPr>
              <w:t>Properly design pipe supports to minimize abrasion and corrosion and allow for expansion and contraction.</w:t>
            </w:r>
          </w:p>
          <w:p w14:paraId="781B6755" w14:textId="77777777" w:rsidR="00A838D6" w:rsidRDefault="00A838D6"/>
          <w:p w14:paraId="154657B8" w14:textId="7FD0AA23" w:rsidR="00A838D6" w:rsidRPr="00586217" w:rsidRDefault="00A838D6">
            <w:r>
              <w:t>Apply this requirement to all APSA tank facilities</w:t>
            </w:r>
            <w:r w:rsidR="00186668">
              <w:t>, regardless of SPCC Plan type/status.</w:t>
            </w:r>
          </w:p>
        </w:tc>
        <w:tc>
          <w:tcPr>
            <w:tcW w:w="3238" w:type="dxa"/>
          </w:tcPr>
          <w:p w14:paraId="22115845" w14:textId="0110FDCB" w:rsidR="00682A34" w:rsidRDefault="00C60750">
            <w:r>
              <w:t>Consistency with building standards code requirements</w:t>
            </w:r>
            <w:r w:rsidR="003C2C57">
              <w:t xml:space="preserve">.  </w:t>
            </w:r>
          </w:p>
          <w:p w14:paraId="469FF879" w14:textId="0C50B962" w:rsidR="00682A34" w:rsidRPr="00586217" w:rsidRDefault="00682A34" w:rsidP="003B01EC"/>
        </w:tc>
        <w:tc>
          <w:tcPr>
            <w:tcW w:w="4593" w:type="dxa"/>
          </w:tcPr>
          <w:p w14:paraId="65DE6C6C" w14:textId="104E9A83" w:rsidR="00956DC6" w:rsidRPr="00586217" w:rsidRDefault="007448C3">
            <w:r>
              <w:t>Initiated discussion in June 2025.</w:t>
            </w:r>
          </w:p>
          <w:p w14:paraId="6D37248F" w14:textId="57DDDD18" w:rsidR="00956DC6" w:rsidRPr="00586217" w:rsidRDefault="32DDC95A">
            <w:r>
              <w:t>CUPAs have difficulties with enforcing this section.</w:t>
            </w:r>
          </w:p>
          <w:p w14:paraId="356F8C9D" w14:textId="472FB912" w:rsidR="00956DC6" w:rsidRPr="00586217" w:rsidRDefault="00956DC6"/>
          <w:p w14:paraId="18C48C9D" w14:textId="1DC7CA93" w:rsidR="00956DC6" w:rsidRPr="00586217" w:rsidRDefault="32DDC95A">
            <w:r>
              <w:t>Eloy wants guidance (from EPA</w:t>
            </w:r>
            <w:r w:rsidR="6742329C">
              <w:t xml:space="preserve">, </w:t>
            </w:r>
            <w:r w:rsidR="00820C63">
              <w:t xml:space="preserve">also </w:t>
            </w:r>
            <w:r w:rsidR="6742329C">
              <w:t>perhaps from Pipeline Safety)</w:t>
            </w:r>
          </w:p>
          <w:p w14:paraId="3496A6F6" w14:textId="7420FF09" w:rsidR="00956DC6" w:rsidRPr="00586217" w:rsidRDefault="6742329C">
            <w:r>
              <w:t>Craig- lots of engineering</w:t>
            </w:r>
          </w:p>
          <w:p w14:paraId="767EA7D4" w14:textId="65D896D4" w:rsidR="00956DC6" w:rsidRPr="00586217" w:rsidRDefault="00956DC6"/>
          <w:p w14:paraId="638375DD" w14:textId="572E5456" w:rsidR="00956DC6" w:rsidRPr="00586217" w:rsidRDefault="6742329C">
            <w:r>
              <w:t>On the TIUGA SPCC Plan template – committee wanted to include this.</w:t>
            </w:r>
          </w:p>
          <w:p w14:paraId="3E70AB34" w14:textId="418D691D" w:rsidR="00956DC6" w:rsidRPr="00586217" w:rsidRDefault="00956DC6"/>
          <w:p w14:paraId="79E88D04" w14:textId="14B32C77" w:rsidR="00922A15" w:rsidRPr="00586217" w:rsidRDefault="00922A15">
            <w:r>
              <w:t>CCR, Title 19,</w:t>
            </w:r>
            <w:r w:rsidR="0D155D9B">
              <w:t xml:space="preserve"> Section 160</w:t>
            </w:r>
            <w:r w:rsidR="16E9463E">
              <w:t>6</w:t>
            </w:r>
            <w:r>
              <w:t xml:space="preserve"> covers corrosion protection for all APSA aboveground storage tanks, regardless of SPCC </w:t>
            </w:r>
            <w:r w:rsidR="009616D8">
              <w:t>P</w:t>
            </w:r>
            <w:r>
              <w:t>lan type/status</w:t>
            </w:r>
            <w:r w:rsidR="00682C36">
              <w:t>.</w:t>
            </w:r>
          </w:p>
          <w:p w14:paraId="020C1081" w14:textId="0C65310F" w:rsidR="00956DC6" w:rsidRPr="00586217" w:rsidRDefault="00956DC6"/>
        </w:tc>
      </w:tr>
      <w:tr w:rsidR="00956DC6" w:rsidRPr="00586217" w14:paraId="5505DE9F" w14:textId="77777777" w:rsidTr="00C15C62">
        <w:tc>
          <w:tcPr>
            <w:tcW w:w="1435" w:type="dxa"/>
          </w:tcPr>
          <w:p w14:paraId="290780DC" w14:textId="5C44ECA2" w:rsidR="00956DC6" w:rsidRPr="00586217" w:rsidRDefault="00956DC6"/>
        </w:tc>
        <w:tc>
          <w:tcPr>
            <w:tcW w:w="5039" w:type="dxa"/>
          </w:tcPr>
          <w:p w14:paraId="585207CE" w14:textId="77777777" w:rsidR="00467FA1" w:rsidRDefault="00003070">
            <w:r>
              <w:t>Sampling capability for UPAs</w:t>
            </w:r>
            <w:r w:rsidR="00467FA1">
              <w:t xml:space="preserve">: </w:t>
            </w:r>
          </w:p>
          <w:p w14:paraId="17559C3F" w14:textId="2AD1D60A" w:rsidR="00467FA1" w:rsidRDefault="00467FA1">
            <w:r>
              <w:t>-known releases or spills at a tank facility</w:t>
            </w:r>
          </w:p>
          <w:p w14:paraId="2B8E6D79" w14:textId="02ABF795" w:rsidR="00467FA1" w:rsidRDefault="00467FA1">
            <w:r>
              <w:t>-</w:t>
            </w:r>
            <w:r w:rsidR="000B7B8A">
              <w:t>closure of AST system (including associated piping and appurtenances) of a tank facility</w:t>
            </w:r>
          </w:p>
          <w:p w14:paraId="1FE74CAB" w14:textId="28DC6D11" w:rsidR="00467FA1" w:rsidRPr="00586217" w:rsidRDefault="00467FA1"/>
        </w:tc>
        <w:tc>
          <w:tcPr>
            <w:tcW w:w="3238" w:type="dxa"/>
          </w:tcPr>
          <w:p w14:paraId="03D5A2F7" w14:textId="2478C57E" w:rsidR="00956DC6" w:rsidRDefault="00566FBE">
            <w:r>
              <w:t>T</w:t>
            </w:r>
            <w:r w:rsidR="007B7603">
              <w:t>o provide explicit</w:t>
            </w:r>
            <w:r>
              <w:t xml:space="preserve"> authority for an UPA to require tank facilities when there is a known release or spill at a tank facility, or when a tank</w:t>
            </w:r>
            <w:r w:rsidR="00FA26D2">
              <w:t xml:space="preserve"> is being closed and removed from a tank facility</w:t>
            </w:r>
            <w:r w:rsidR="009A1F56">
              <w:t>. Sampling is necessary</w:t>
            </w:r>
            <w:r w:rsidR="007B7603">
              <w:t xml:space="preserve"> to</w:t>
            </w:r>
            <w:r w:rsidR="00300F70">
              <w:t xml:space="preserve"> confirm if facility needs to be referred to the State and Regional Water Boards for potential cleanup or abatement efforts</w:t>
            </w:r>
            <w:r w:rsidR="00FA26D2">
              <w:t>.</w:t>
            </w:r>
          </w:p>
          <w:p w14:paraId="0775004F" w14:textId="370D0A57" w:rsidR="006335E2" w:rsidRPr="00586217" w:rsidRDefault="006335E2"/>
        </w:tc>
        <w:tc>
          <w:tcPr>
            <w:tcW w:w="4593" w:type="dxa"/>
          </w:tcPr>
          <w:p w14:paraId="31446CE6" w14:textId="5CDD5FCA" w:rsidR="00956DC6" w:rsidRPr="003746C6" w:rsidRDefault="0083646A" w:rsidP="122F7DE8">
            <w:r>
              <w:t>A</w:t>
            </w:r>
            <w:r w:rsidR="008469D4" w:rsidRPr="003746C6">
              <w:t>uthority</w:t>
            </w:r>
            <w:r>
              <w:t xml:space="preserve"> provided for UPAs</w:t>
            </w:r>
            <w:r w:rsidR="007D0708" w:rsidRPr="003746C6">
              <w:t xml:space="preserve"> </w:t>
            </w:r>
            <w:r w:rsidR="57C64482" w:rsidRPr="003746C6">
              <w:t xml:space="preserve">under </w:t>
            </w:r>
            <w:r w:rsidR="007D0708" w:rsidRPr="003746C6">
              <w:t>hazardous waste generator</w:t>
            </w:r>
            <w:r w:rsidR="57C64482" w:rsidRPr="003746C6">
              <w:t xml:space="preserve"> requirements (HSC 25189), and facilities do the sampling per UST</w:t>
            </w:r>
            <w:r w:rsidR="00872F36">
              <w:t xml:space="preserve"> regulations</w:t>
            </w:r>
            <w:r w:rsidR="57C64482" w:rsidRPr="003746C6">
              <w:t>, 23 CCR Section 2672</w:t>
            </w:r>
            <w:r w:rsidR="00872F36">
              <w:t>(d)</w:t>
            </w:r>
            <w:r>
              <w:t xml:space="preserve"> (noted below)</w:t>
            </w:r>
            <w:r w:rsidR="57C64482" w:rsidRPr="003746C6">
              <w:t>.</w:t>
            </w:r>
          </w:p>
          <w:p w14:paraId="465C2D56" w14:textId="54B13CED" w:rsidR="00956DC6" w:rsidRPr="003746C6" w:rsidRDefault="00956DC6" w:rsidP="122F7DE8"/>
          <w:p w14:paraId="018F29A8" w14:textId="466ECAC7" w:rsidR="00956DC6" w:rsidRPr="00C15C62" w:rsidRDefault="209FF241" w:rsidP="122F7DE8">
            <w:pPr>
              <w:shd w:val="clear" w:color="auto" w:fill="FFFFFF" w:themeFill="background1"/>
              <w:rPr>
                <w:rFonts w:eastAsia="Arial" w:cs="Arial"/>
                <w:i/>
                <w:iCs/>
              </w:rPr>
            </w:pPr>
            <w:r w:rsidRPr="00C15C62">
              <w:rPr>
                <w:rFonts w:eastAsia="Arial" w:cs="Arial"/>
                <w:i/>
                <w:iCs/>
              </w:rPr>
              <w:t xml:space="preserve">(d) The owner or operator of an underground storage tank being closed pursuant to this section shall demonstrate to the satisfaction of the local agency that an unauthorized release has not occurred. This demonstration shall be based on soil sample analysis and/or water analysis if water is present in the excavation. This analysis shall be performed during or immediately after closure activities. If the demonstration is based on soil sample </w:t>
            </w:r>
            <w:r w:rsidRPr="00C15C62">
              <w:rPr>
                <w:rFonts w:eastAsia="Arial" w:cs="Arial"/>
                <w:i/>
                <w:iCs/>
              </w:rPr>
              <w:lastRenderedPageBreak/>
              <w:t>analysis, soil samples shall be taken and analyzed as follows:</w:t>
            </w:r>
          </w:p>
          <w:p w14:paraId="3F4E5ADA" w14:textId="23D9E36D" w:rsidR="00956DC6" w:rsidRPr="00C15C62" w:rsidRDefault="209FF241" w:rsidP="00C15C62">
            <w:pPr>
              <w:shd w:val="clear" w:color="auto" w:fill="FFFFFF" w:themeFill="background1"/>
              <w:rPr>
                <w:rFonts w:eastAsia="Arial" w:cs="Arial"/>
                <w:i/>
                <w:iCs/>
              </w:rPr>
            </w:pPr>
            <w:r w:rsidRPr="00C15C62">
              <w:rPr>
                <w:rFonts w:eastAsia="Arial" w:cs="Arial"/>
                <w:i/>
                <w:iCs/>
              </w:rPr>
              <w:t>(1) If the underground storage tank or any portion thereof is removed, soil samples shall be taken immediately beneath the removed portions of the tank, a minimum of two feet into native material at each end of the tank in accordance with section 2649. A separate sample shall be taken for each 20 linear-feet of trench for piping.</w:t>
            </w:r>
          </w:p>
          <w:p w14:paraId="4F5A2423" w14:textId="6399E387" w:rsidR="00956DC6" w:rsidRPr="00C15C62" w:rsidRDefault="209FF241" w:rsidP="00C15C62">
            <w:pPr>
              <w:shd w:val="clear" w:color="auto" w:fill="FFFFFF" w:themeFill="background1"/>
              <w:rPr>
                <w:rFonts w:eastAsia="Arial" w:cs="Arial"/>
                <w:i/>
                <w:iCs/>
              </w:rPr>
            </w:pPr>
            <w:r w:rsidRPr="00C15C62">
              <w:rPr>
                <w:rFonts w:eastAsia="Arial" w:cs="Arial"/>
                <w:i/>
                <w:iCs/>
              </w:rPr>
              <w:t>(2) If the underground storage tank or any portion thereof is not removed, at least one boring shall be taken as close as possible to the midpoint beneath the tank using a slant boring (mechanical or manual), or other appropriate method such as vertical borings drilled on each long dimensional side of the tank as approved by the local agency.</w:t>
            </w:r>
          </w:p>
          <w:p w14:paraId="54B64E88" w14:textId="376B5021" w:rsidR="00956DC6" w:rsidRPr="00C15C62" w:rsidRDefault="209FF241" w:rsidP="00C15C62">
            <w:pPr>
              <w:shd w:val="clear" w:color="auto" w:fill="FFFFFF" w:themeFill="background1"/>
              <w:rPr>
                <w:i/>
                <w:iCs/>
              </w:rPr>
            </w:pPr>
            <w:r w:rsidRPr="00C15C62">
              <w:rPr>
                <w:rFonts w:eastAsia="Arial" w:cs="Arial"/>
                <w:i/>
                <w:iCs/>
              </w:rPr>
              <w:t>(3) Soils shall be analyzed in accordance with section 2649 for all constituents of the previously stored hazardous substances and their breakdown or transformation products. The local agency may waive the requirement for analysis of all constituents, breakdown or transformation products when key constituents that pose a significant threat to water quality or the environment can be identified for analysis.</w:t>
            </w:r>
          </w:p>
          <w:p w14:paraId="52D2666F" w14:textId="48C2E12B" w:rsidR="00B2118B" w:rsidRPr="00C15C62" w:rsidRDefault="0006610D"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lastRenderedPageBreak/>
              <w:t>California Fire Code</w:t>
            </w:r>
            <w:r w:rsidR="0027676C" w:rsidRPr="00C15C62">
              <w:rPr>
                <w:rFonts w:asciiTheme="minorHAnsi" w:eastAsia="Segoe UI" w:hAnsiTheme="minorHAnsi" w:cs="Segoe UI"/>
                <w:b/>
                <w:bCs/>
                <w:color w:val="auto"/>
                <w:sz w:val="24"/>
                <w:szCs w:val="24"/>
              </w:rPr>
              <w:t xml:space="preserve"> references are</w:t>
            </w:r>
            <w:r w:rsidR="00B2118B" w:rsidRPr="00C15C62">
              <w:rPr>
                <w:rFonts w:asciiTheme="minorHAnsi" w:eastAsia="Segoe UI" w:hAnsiTheme="minorHAnsi" w:cs="Segoe UI"/>
                <w:b/>
                <w:bCs/>
                <w:color w:val="auto"/>
                <w:sz w:val="24"/>
                <w:szCs w:val="24"/>
              </w:rPr>
              <w:t xml:space="preserve"> below:</w:t>
            </w:r>
            <w:r w:rsidR="00522F02" w:rsidRPr="00C15C62">
              <w:rPr>
                <w:rFonts w:asciiTheme="minorHAnsi" w:eastAsia="Segoe UI" w:hAnsiTheme="minorHAnsi" w:cs="Segoe UI"/>
                <w:b/>
                <w:bCs/>
                <w:color w:val="auto"/>
                <w:sz w:val="24"/>
                <w:szCs w:val="24"/>
              </w:rPr>
              <w:t xml:space="preserve"> </w:t>
            </w:r>
          </w:p>
          <w:p w14:paraId="6B139043" w14:textId="77777777" w:rsidR="0027676C" w:rsidRPr="00C15C62" w:rsidRDefault="0027676C" w:rsidP="0027676C">
            <w:pPr>
              <w:pStyle w:val="Heading1"/>
              <w:spacing w:before="0" w:after="0"/>
              <w:rPr>
                <w:rFonts w:asciiTheme="minorHAnsi" w:eastAsia="Segoe UI" w:hAnsiTheme="minorHAnsi" w:cs="Segoe UI"/>
                <w:b/>
                <w:bCs/>
                <w:color w:val="auto"/>
                <w:sz w:val="24"/>
                <w:szCs w:val="24"/>
              </w:rPr>
            </w:pPr>
          </w:p>
          <w:p w14:paraId="37DBB446" w14:textId="12F5643F" w:rsidR="00956DC6" w:rsidRPr="00C15C62" w:rsidRDefault="57C64482"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t>5001.6.3 Facility closure plan</w:t>
            </w:r>
          </w:p>
          <w:p w14:paraId="7A6680F4" w14:textId="36A09ECB" w:rsidR="00956DC6" w:rsidRPr="00B01E7C" w:rsidRDefault="57C64482" w:rsidP="0027676C">
            <w:pPr>
              <w:rPr>
                <w:rFonts w:eastAsia="Segoe UI" w:cs="Segoe UI"/>
                <w:i/>
                <w:iCs/>
              </w:rPr>
            </w:pPr>
            <w:r w:rsidRPr="00B01E7C">
              <w:rPr>
                <w:rFonts w:eastAsia="Segoe UI" w:cs="Segoe UI"/>
                <w:i/>
                <w:iCs/>
              </w:rPr>
              <w:t xml:space="preserve">Where a facility closure plan is required in accordance with </w:t>
            </w:r>
            <w:hyperlink r:id="rId11" w:history="1">
              <w:r w:rsidRPr="00B01E7C">
                <w:rPr>
                  <w:rStyle w:val="Hyperlink"/>
                  <w:rFonts w:eastAsia="Segoe UI" w:cs="Segoe UI"/>
                  <w:i/>
                  <w:iCs/>
                  <w:color w:val="auto"/>
                </w:rPr>
                <w:t>Section 5001.5</w:t>
              </w:r>
            </w:hyperlink>
            <w:r w:rsidRPr="00B01E7C">
              <w:rPr>
                <w:rFonts w:eastAsia="Segoe UI" w:cs="Segoe UI"/>
                <w:i/>
                <w:iCs/>
              </w:rPr>
              <w:t xml:space="preserve"> to terminate storage, dispensing, handling or use of hazardous materials, it shall be submitted to the fire code official not less than 30 days prior to facility closure. The plan shall demonstrate that hazardous materials that are stored, dispensed, handled or used in the facility will be transported, disposed of or reu</w:t>
            </w:r>
            <w:r w:rsidR="00460045" w:rsidRPr="00B01E7C">
              <w:rPr>
                <w:rFonts w:eastAsia="Segoe UI" w:cs="Segoe UI"/>
                <w:i/>
                <w:iCs/>
              </w:rPr>
              <w:t>558436</w:t>
            </w:r>
            <w:r w:rsidRPr="00B01E7C">
              <w:rPr>
                <w:rFonts w:eastAsia="Segoe UI" w:cs="Segoe UI"/>
                <w:i/>
                <w:iCs/>
              </w:rPr>
              <w:t>sed in a manner that eliminates the need for further maintenance and any threat to public health and safety.</w:t>
            </w:r>
          </w:p>
          <w:p w14:paraId="00BE9A8D" w14:textId="77777777" w:rsidR="0027676C" w:rsidRPr="00C15C62" w:rsidRDefault="0027676C" w:rsidP="0027676C">
            <w:pPr>
              <w:pStyle w:val="Heading1"/>
              <w:spacing w:before="0" w:after="0"/>
              <w:rPr>
                <w:rFonts w:asciiTheme="minorHAnsi" w:eastAsia="Segoe UI" w:hAnsiTheme="minorHAnsi" w:cs="Segoe UI"/>
                <w:b/>
                <w:bCs/>
                <w:color w:val="auto"/>
                <w:sz w:val="24"/>
                <w:szCs w:val="24"/>
              </w:rPr>
            </w:pPr>
          </w:p>
          <w:p w14:paraId="13A7FBC9" w14:textId="44D37F11" w:rsidR="00956DC6" w:rsidRPr="00C15C62" w:rsidRDefault="57C64482"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t>5003.3.1 Unauthorized discharges.</w:t>
            </w:r>
          </w:p>
          <w:p w14:paraId="507B6F7B" w14:textId="0D6A5FAF" w:rsidR="00956DC6" w:rsidRPr="00B01E7C" w:rsidRDefault="57C64482" w:rsidP="0027676C">
            <w:pPr>
              <w:rPr>
                <w:rFonts w:eastAsia="Segoe UI" w:cs="Segoe UI"/>
                <w:i/>
                <w:iCs/>
              </w:rPr>
            </w:pPr>
            <w:r w:rsidRPr="00B01E7C">
              <w:rPr>
                <w:rFonts w:eastAsia="Segoe UI" w:cs="Segoe UI"/>
                <w:i/>
                <w:iCs/>
              </w:rPr>
              <w:t xml:space="preserve">In the event hazardous materials are released in quantities reportable under state, federal or local regulations, the fire code official shall be notified and the following procedures required in accordance with </w:t>
            </w:r>
            <w:r w:rsidR="00872F36" w:rsidRPr="00B01E7C">
              <w:rPr>
                <w:rFonts w:eastAsia="Segoe UI" w:cs="Segoe UI"/>
                <w:i/>
                <w:iCs/>
              </w:rPr>
              <w:t>Sections 5003.3.1.1</w:t>
            </w:r>
            <w:r w:rsidRPr="00B01E7C">
              <w:rPr>
                <w:rFonts w:eastAsia="Segoe UI" w:cs="Segoe UI"/>
                <w:i/>
                <w:iCs/>
              </w:rPr>
              <w:t xml:space="preserve"> through </w:t>
            </w:r>
            <w:r w:rsidR="00872F36" w:rsidRPr="00B01E7C">
              <w:rPr>
                <w:rFonts w:eastAsia="Segoe UI" w:cs="Segoe UI"/>
                <w:i/>
                <w:iCs/>
              </w:rPr>
              <w:t>5003.3.1.4</w:t>
            </w:r>
            <w:r w:rsidRPr="00B01E7C">
              <w:rPr>
                <w:rFonts w:eastAsia="Segoe UI" w:cs="Segoe UI"/>
                <w:i/>
                <w:iCs/>
              </w:rPr>
              <w:t>.</w:t>
            </w:r>
          </w:p>
          <w:p w14:paraId="125CDA66" w14:textId="77777777" w:rsidR="0027676C" w:rsidRPr="00C15C62" w:rsidRDefault="0027676C" w:rsidP="0027676C">
            <w:pPr>
              <w:pStyle w:val="Heading1"/>
              <w:spacing w:before="0" w:after="0"/>
              <w:rPr>
                <w:rFonts w:asciiTheme="minorHAnsi" w:eastAsia="Segoe UI" w:hAnsiTheme="minorHAnsi" w:cs="Segoe UI"/>
                <w:b/>
                <w:bCs/>
                <w:color w:val="auto"/>
                <w:sz w:val="24"/>
                <w:szCs w:val="24"/>
              </w:rPr>
            </w:pPr>
          </w:p>
          <w:p w14:paraId="341ACBBD" w14:textId="0323E034" w:rsidR="00956DC6" w:rsidRPr="00C15C62" w:rsidRDefault="57C64482"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t>5003.3.1.1 Records.</w:t>
            </w:r>
          </w:p>
          <w:p w14:paraId="61FAA551" w14:textId="03A256DB" w:rsidR="00956DC6" w:rsidRPr="00B01E7C" w:rsidRDefault="57C64482" w:rsidP="0027676C">
            <w:pPr>
              <w:rPr>
                <w:rFonts w:eastAsia="Segoe UI" w:cs="Segoe UI"/>
                <w:i/>
                <w:iCs/>
              </w:rPr>
            </w:pPr>
            <w:r w:rsidRPr="00B01E7C">
              <w:rPr>
                <w:rFonts w:eastAsia="Segoe UI" w:cs="Segoe UI"/>
                <w:i/>
                <w:iCs/>
              </w:rPr>
              <w:t>Records of the unauthorized discharge of hazardous materials by the permittee shall be maintained.</w:t>
            </w:r>
          </w:p>
          <w:p w14:paraId="351DB12F" w14:textId="77777777" w:rsidR="0027676C" w:rsidRPr="00C15C62" w:rsidRDefault="0027676C" w:rsidP="0027676C">
            <w:pPr>
              <w:pStyle w:val="Heading1"/>
              <w:spacing w:before="0" w:after="0"/>
              <w:rPr>
                <w:rFonts w:asciiTheme="minorHAnsi" w:eastAsia="Segoe UI" w:hAnsiTheme="minorHAnsi" w:cs="Segoe UI"/>
                <w:b/>
                <w:bCs/>
                <w:color w:val="auto"/>
                <w:sz w:val="24"/>
                <w:szCs w:val="24"/>
              </w:rPr>
            </w:pPr>
          </w:p>
          <w:p w14:paraId="01E91B23" w14:textId="3EC8B6E8" w:rsidR="00956DC6" w:rsidRPr="00C15C62" w:rsidRDefault="57C64482"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t>5003.3.1.2 Preparation.</w:t>
            </w:r>
          </w:p>
          <w:p w14:paraId="0D1997BB" w14:textId="0F4CED87" w:rsidR="00956DC6" w:rsidRPr="00B01E7C" w:rsidRDefault="57C64482" w:rsidP="0027676C">
            <w:pPr>
              <w:rPr>
                <w:rFonts w:eastAsia="Segoe UI" w:cs="Segoe UI"/>
                <w:i/>
                <w:iCs/>
              </w:rPr>
            </w:pPr>
            <w:r w:rsidRPr="00B01E7C">
              <w:rPr>
                <w:rFonts w:eastAsia="Segoe UI" w:cs="Segoe UI"/>
                <w:i/>
                <w:iCs/>
              </w:rPr>
              <w:t>Provisions shall be made for controlling and mitigating unauthorized discharges.</w:t>
            </w:r>
          </w:p>
          <w:p w14:paraId="382089F5" w14:textId="77777777" w:rsidR="0027676C" w:rsidRPr="00C15C62" w:rsidRDefault="0027676C" w:rsidP="0027676C">
            <w:pPr>
              <w:pStyle w:val="Heading1"/>
              <w:spacing w:before="0" w:after="0"/>
              <w:rPr>
                <w:rFonts w:asciiTheme="minorHAnsi" w:eastAsia="Segoe UI" w:hAnsiTheme="minorHAnsi" w:cs="Segoe UI"/>
                <w:b/>
                <w:bCs/>
                <w:color w:val="auto"/>
                <w:sz w:val="24"/>
                <w:szCs w:val="24"/>
              </w:rPr>
            </w:pPr>
          </w:p>
          <w:p w14:paraId="722EAFF0" w14:textId="61489247" w:rsidR="00956DC6" w:rsidRPr="00C15C62" w:rsidRDefault="57C64482"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t>5003.3.1.3 Control.</w:t>
            </w:r>
          </w:p>
          <w:p w14:paraId="1BD5D9B8" w14:textId="4D1AA07E" w:rsidR="00956DC6" w:rsidRPr="00B01E7C" w:rsidRDefault="57C64482" w:rsidP="0027676C">
            <w:pPr>
              <w:rPr>
                <w:rFonts w:eastAsia="Segoe UI" w:cs="Segoe UI"/>
                <w:i/>
                <w:iCs/>
              </w:rPr>
            </w:pPr>
            <w:r w:rsidRPr="00B01E7C">
              <w:rPr>
                <w:rFonts w:eastAsia="Segoe UI" w:cs="Segoe UI"/>
                <w:i/>
                <w:iCs/>
              </w:rPr>
              <w:t>Where an unauthorized discharge caused by primary container failure is discovered, the involved primary container shall be repaired or removed from service.</w:t>
            </w:r>
          </w:p>
          <w:p w14:paraId="7A0B3C2C" w14:textId="77777777" w:rsidR="0027676C" w:rsidRPr="00C15C62" w:rsidRDefault="0027676C" w:rsidP="0027676C">
            <w:pPr>
              <w:pStyle w:val="Heading1"/>
              <w:spacing w:before="0" w:after="0"/>
              <w:rPr>
                <w:rFonts w:asciiTheme="minorHAnsi" w:eastAsia="Segoe UI" w:hAnsiTheme="minorHAnsi" w:cs="Segoe UI"/>
                <w:b/>
                <w:bCs/>
                <w:color w:val="auto"/>
                <w:sz w:val="24"/>
                <w:szCs w:val="24"/>
              </w:rPr>
            </w:pPr>
          </w:p>
          <w:p w14:paraId="6BE08440" w14:textId="3C3FE399" w:rsidR="00956DC6" w:rsidRPr="00C15C62" w:rsidRDefault="57C64482"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t>5003.3.1.4 Responsibility for cleanup.</w:t>
            </w:r>
          </w:p>
          <w:p w14:paraId="58EB7E28" w14:textId="43FE992C" w:rsidR="00956DC6" w:rsidRPr="00B01E7C" w:rsidRDefault="57C64482" w:rsidP="0027676C">
            <w:pPr>
              <w:rPr>
                <w:rFonts w:eastAsia="Segoe UI" w:cs="Segoe UI"/>
                <w:i/>
                <w:iCs/>
              </w:rPr>
            </w:pPr>
            <w:r w:rsidRPr="00B01E7C">
              <w:rPr>
                <w:rFonts w:eastAsia="Segoe UI" w:cs="Segoe UI"/>
                <w:i/>
                <w:iCs/>
              </w:rPr>
              <w:t>The person, firm or corporation responsible for an unauthorized discharge shall institute and complete all actions necessary to remedy the effects of such unauthorized discharge, whether sudden or gradual, without cost to the jurisdiction. Where deemed necessary by the fire code official, cleanup can be initiated by the fire department or by an authorized individual or firm. Costs associated with such cleanup shall be borne by the owner, operator or other person responsible for the unauthorized discharge.</w:t>
            </w:r>
          </w:p>
          <w:p w14:paraId="23F980DF" w14:textId="4AD883AA" w:rsidR="00956DC6" w:rsidRPr="00B01E7C" w:rsidRDefault="57C64482">
            <w:pPr>
              <w:rPr>
                <w:rFonts w:eastAsia="Segoe UI" w:cs="Segoe UI"/>
                <w:i/>
                <w:iCs/>
              </w:rPr>
            </w:pPr>
            <w:r w:rsidRPr="00B01E7C">
              <w:rPr>
                <w:rFonts w:eastAsia="Segoe UI" w:cs="Segoe UI"/>
                <w:i/>
                <w:iCs/>
              </w:rPr>
              <w:t>ICC Digital Codes is the largest provider of model codes, custom codes and standards used worldwide to construct safe, sustainable, affordable and resilient structures.</w:t>
            </w:r>
          </w:p>
          <w:p w14:paraId="264927DA" w14:textId="77777777" w:rsidR="0027676C" w:rsidRPr="003746C6" w:rsidRDefault="0027676C" w:rsidP="0027676C">
            <w:pPr>
              <w:rPr>
                <w:b/>
                <w:bCs/>
              </w:rPr>
            </w:pPr>
          </w:p>
          <w:p w14:paraId="1B8A8B58" w14:textId="3B307CA7" w:rsidR="0027676C" w:rsidRPr="003746C6" w:rsidRDefault="00872F36" w:rsidP="0027676C">
            <w:pPr>
              <w:rPr>
                <w:b/>
                <w:bCs/>
              </w:rPr>
            </w:pPr>
            <w:r w:rsidRPr="00C15C62">
              <w:rPr>
                <w:rFonts w:eastAsia="Segoe UI" w:cs="Segoe UI"/>
                <w:b/>
                <w:bCs/>
              </w:rPr>
              <w:t>5001.3.3.17 Consequence analysis.</w:t>
            </w:r>
          </w:p>
          <w:p w14:paraId="2A4D0D62" w14:textId="5B03F6FB" w:rsidR="00956DC6" w:rsidRPr="00B01E7C" w:rsidRDefault="69FAD87B" w:rsidP="00D421F4">
            <w:pPr>
              <w:rPr>
                <w:rFonts w:eastAsia="Segoe UI" w:cs="Segoe UI"/>
                <w:b/>
                <w:bCs/>
                <w:i/>
                <w:iCs/>
                <w:u w:val="single"/>
              </w:rPr>
            </w:pPr>
            <w:r w:rsidRPr="00B01E7C">
              <w:rPr>
                <w:rFonts w:eastAsia="Segoe UI" w:cs="Segoe UI"/>
                <w:i/>
                <w:iCs/>
              </w:rPr>
              <w:t xml:space="preserve">Where an accidental release of hazardous materials could endanger people or property, either on- or off-site, an analysis of the expected consequences of a plausible release shall be performed and utilized in the analysis and selection of </w:t>
            </w:r>
            <w:r w:rsidRPr="00B01E7C">
              <w:rPr>
                <w:rFonts w:eastAsia="Segoe UI" w:cs="Segoe UI"/>
                <w:i/>
                <w:iCs/>
              </w:rPr>
              <w:lastRenderedPageBreak/>
              <w:t>active and passive hazard mitigation controls.</w:t>
            </w:r>
          </w:p>
          <w:p w14:paraId="460A5AB1" w14:textId="77777777" w:rsidR="0062161C" w:rsidRDefault="0062161C" w:rsidP="00D421F4">
            <w:pPr>
              <w:pStyle w:val="Heading1"/>
              <w:spacing w:before="0" w:after="0"/>
              <w:rPr>
                <w:rFonts w:asciiTheme="minorHAnsi" w:eastAsia="Segoe UI" w:hAnsiTheme="minorHAnsi" w:cs="Segoe UI"/>
                <w:b/>
                <w:bCs/>
                <w:color w:val="auto"/>
                <w:sz w:val="24"/>
                <w:szCs w:val="24"/>
              </w:rPr>
            </w:pPr>
          </w:p>
          <w:p w14:paraId="3D561310" w14:textId="29734427" w:rsidR="00956DC6" w:rsidRPr="00C15C62" w:rsidRDefault="00C0C773" w:rsidP="00C15C62">
            <w:pPr>
              <w:pStyle w:val="Heading1"/>
              <w:spacing w:before="0" w:after="0"/>
              <w:rPr>
                <w:rFonts w:asciiTheme="minorHAnsi" w:eastAsia="Segoe UI" w:hAnsiTheme="minorHAnsi" w:cs="Segoe UI"/>
                <w:b/>
                <w:bCs/>
                <w:color w:val="auto"/>
                <w:sz w:val="24"/>
                <w:szCs w:val="24"/>
              </w:rPr>
            </w:pPr>
            <w:r w:rsidRPr="00C15C62">
              <w:rPr>
                <w:rFonts w:asciiTheme="minorHAnsi" w:eastAsia="Segoe UI" w:hAnsiTheme="minorHAnsi" w:cs="Segoe UI"/>
                <w:b/>
                <w:bCs/>
                <w:color w:val="auto"/>
                <w:sz w:val="24"/>
                <w:szCs w:val="24"/>
              </w:rPr>
              <w:t>5703.3 Site assessment.</w:t>
            </w:r>
          </w:p>
          <w:p w14:paraId="4F9F2AAA" w14:textId="77A11105" w:rsidR="00956DC6" w:rsidRPr="00B01E7C" w:rsidRDefault="00C0C773" w:rsidP="00A86E9F">
            <w:pPr>
              <w:rPr>
                <w:rFonts w:eastAsia="Segoe UI" w:cs="Segoe UI"/>
                <w:i/>
                <w:iCs/>
              </w:rPr>
            </w:pPr>
            <w:r w:rsidRPr="00B01E7C">
              <w:rPr>
                <w:rFonts w:eastAsia="Segoe UI" w:cs="Segoe UI"/>
                <w:i/>
                <w:iCs/>
              </w:rPr>
              <w:t>In the event of a spill, leak or discharge from a tank system, a site assessment shall be completed by the owner or operator of such tank system if the fire code official determines that a potential fire or explosion hazard exists. Such site assessments shall be conducted to ascertain potential fire hazards and shall be completed and submitted to the fire department within a time period established by the fire code official, not to exceed 60 days.</w:t>
            </w:r>
          </w:p>
          <w:p w14:paraId="409E945C" w14:textId="532F82F9" w:rsidR="0062161C" w:rsidRPr="003746C6" w:rsidRDefault="0009597E" w:rsidP="0062161C">
            <w:pPr>
              <w:spacing w:before="240" w:after="240"/>
            </w:pPr>
            <w:r>
              <w:rPr>
                <w:rFonts w:eastAsia="Segoe UI" w:cs="Segoe UI"/>
              </w:rPr>
              <w:t xml:space="preserve">Also, refer to CFC Sections </w:t>
            </w:r>
            <w:r w:rsidR="0062161C" w:rsidRPr="00376C37">
              <w:rPr>
                <w:rFonts w:eastAsia="Segoe UI" w:cs="Segoe UI"/>
              </w:rPr>
              <w:t xml:space="preserve">5001.3.3 </w:t>
            </w:r>
            <w:r w:rsidR="0062161C">
              <w:rPr>
                <w:rFonts w:eastAsia="Segoe UI" w:cs="Segoe UI"/>
              </w:rPr>
              <w:t>and</w:t>
            </w:r>
            <w:r w:rsidR="0062161C" w:rsidRPr="00376C37">
              <w:rPr>
                <w:rFonts w:eastAsia="Segoe UI" w:cs="Segoe UI"/>
              </w:rPr>
              <w:t xml:space="preserve"> 5001.3.3.17</w:t>
            </w:r>
            <w:r>
              <w:rPr>
                <w:rFonts w:eastAsia="Segoe UI" w:cs="Segoe UI"/>
              </w:rPr>
              <w:t>.</w:t>
            </w:r>
          </w:p>
          <w:p w14:paraId="4FCDE9F6" w14:textId="452CB4DD" w:rsidR="00956DC6" w:rsidRPr="003746C6" w:rsidRDefault="00915A94" w:rsidP="00C15C62">
            <w:pPr>
              <w:rPr>
                <w:rFonts w:eastAsia="Segoe UI" w:cs="Segoe UI"/>
              </w:rPr>
            </w:pPr>
            <w:r>
              <w:rPr>
                <w:rFonts w:eastAsia="Segoe UI" w:cs="Segoe UI"/>
              </w:rPr>
              <w:t>What about r</w:t>
            </w:r>
            <w:r w:rsidR="04FB0A67" w:rsidRPr="00C15C62">
              <w:rPr>
                <w:rFonts w:eastAsia="Segoe UI" w:cs="Segoe UI"/>
              </w:rPr>
              <w:t>e</w:t>
            </w:r>
            <w:r w:rsidR="0073022C" w:rsidRPr="003746C6">
              <w:rPr>
                <w:rFonts w:eastAsia="Segoe UI" w:cs="Segoe UI"/>
              </w:rPr>
              <w:t>purposed</w:t>
            </w:r>
            <w:r w:rsidR="04FB0A67" w:rsidRPr="00C15C62">
              <w:rPr>
                <w:rFonts w:eastAsia="Segoe UI" w:cs="Segoe UI"/>
              </w:rPr>
              <w:t xml:space="preserve"> USTs </w:t>
            </w:r>
            <w:r w:rsidR="0073022C" w:rsidRPr="003746C6">
              <w:rPr>
                <w:rFonts w:eastAsia="Segoe UI" w:cs="Segoe UI"/>
              </w:rPr>
              <w:t>as ASTs?</w:t>
            </w:r>
            <w:r>
              <w:rPr>
                <w:rFonts w:eastAsia="Segoe UI" w:cs="Segoe UI"/>
              </w:rPr>
              <w:t xml:space="preserve"> </w:t>
            </w:r>
            <w:r w:rsidR="04FB0A67" w:rsidRPr="00C15C62">
              <w:rPr>
                <w:rFonts w:eastAsia="Segoe UI" w:cs="Segoe UI"/>
              </w:rPr>
              <w:t>Old piping</w:t>
            </w:r>
            <w:r w:rsidR="0073022C" w:rsidRPr="003746C6">
              <w:rPr>
                <w:rFonts w:eastAsia="Segoe UI" w:cs="Segoe UI"/>
              </w:rPr>
              <w:t xml:space="preserve"> associated with ASTs?</w:t>
            </w:r>
          </w:p>
          <w:p w14:paraId="2E99956A" w14:textId="5399B58D" w:rsidR="00A86E9F" w:rsidRPr="00C15C62" w:rsidRDefault="00A86E9F" w:rsidP="00C15C62">
            <w:pPr>
              <w:rPr>
                <w:rFonts w:eastAsia="Segoe UI" w:cs="Segoe UI"/>
              </w:rPr>
            </w:pPr>
          </w:p>
        </w:tc>
      </w:tr>
      <w:tr w:rsidR="00956DC6" w:rsidRPr="00586217" w14:paraId="3C9FADCF" w14:textId="77777777" w:rsidTr="00C15C62">
        <w:tc>
          <w:tcPr>
            <w:tcW w:w="1435" w:type="dxa"/>
          </w:tcPr>
          <w:p w14:paraId="5D3A4ECE" w14:textId="414EB2C5" w:rsidR="00956DC6" w:rsidRPr="00586217" w:rsidRDefault="00760483">
            <w:r>
              <w:lastRenderedPageBreak/>
              <w:t>API 65</w:t>
            </w:r>
            <w:r w:rsidR="3A4BFBB2">
              <w:t>3</w:t>
            </w:r>
            <w:r>
              <w:t xml:space="preserve"> – section? </w:t>
            </w:r>
          </w:p>
        </w:tc>
        <w:tc>
          <w:tcPr>
            <w:tcW w:w="5039" w:type="dxa"/>
          </w:tcPr>
          <w:p w14:paraId="70B5FD94" w14:textId="4EAAD5B2" w:rsidR="00956DC6" w:rsidRDefault="00B43FB7">
            <w:r>
              <w:t>Require an owner or operator to d</w:t>
            </w:r>
            <w:r w:rsidR="00EF3D00">
              <w:t>ocument</w:t>
            </w:r>
            <w:r>
              <w:t xml:space="preserve"> </w:t>
            </w:r>
            <w:r w:rsidR="00EF3D00">
              <w:t xml:space="preserve">why required or mandated actions are not being followed </w:t>
            </w:r>
            <w:r w:rsidR="009835E8">
              <w:t>based on</w:t>
            </w:r>
            <w:r w:rsidR="00EF3D00">
              <w:t xml:space="preserve"> the formal inspections</w:t>
            </w:r>
            <w:r w:rsidR="007819AF">
              <w:t xml:space="preserve"> </w:t>
            </w:r>
            <w:r w:rsidR="009835E8">
              <w:t>per industry standard.</w:t>
            </w:r>
          </w:p>
          <w:p w14:paraId="20EE14E5" w14:textId="6092E9B5" w:rsidR="009835E8" w:rsidRPr="00586217" w:rsidRDefault="009835E8">
            <w:r>
              <w:t xml:space="preserve">Apply this requirement to </w:t>
            </w:r>
            <w:r w:rsidR="004421E1">
              <w:t xml:space="preserve">tank facilities with aboveground storage tanks </w:t>
            </w:r>
            <w:r w:rsidR="00232771">
              <w:t xml:space="preserve">listed to UL 142, UL 2085, etc. that </w:t>
            </w:r>
            <w:r w:rsidR="004421E1">
              <w:t xml:space="preserve">follow </w:t>
            </w:r>
            <w:r w:rsidR="00232771">
              <w:t>the SP001 inspection standard.</w:t>
            </w:r>
          </w:p>
        </w:tc>
        <w:tc>
          <w:tcPr>
            <w:tcW w:w="3238" w:type="dxa"/>
          </w:tcPr>
          <w:p w14:paraId="68A469C9" w14:textId="032CF9C0" w:rsidR="00956DC6" w:rsidRPr="00586217" w:rsidRDefault="00232771">
            <w:r>
              <w:t xml:space="preserve">This is an existing requirement for tank facilities </w:t>
            </w:r>
            <w:r w:rsidR="003A191E">
              <w:t>built to API 650 standards and follow API 65</w:t>
            </w:r>
            <w:r w:rsidR="5A5695C7">
              <w:t>3</w:t>
            </w:r>
            <w:r w:rsidR="003A191E">
              <w:t xml:space="preserve"> inspection standards. However, there is no such explicit requirement in the SP001 inspection standard when</w:t>
            </w:r>
            <w:r w:rsidR="00C91ED1">
              <w:t xml:space="preserve"> required actions are not followed by the owner or operator.  </w:t>
            </w:r>
          </w:p>
        </w:tc>
        <w:tc>
          <w:tcPr>
            <w:tcW w:w="4593" w:type="dxa"/>
          </w:tcPr>
          <w:p w14:paraId="767B16EA" w14:textId="346626DD" w:rsidR="00956DC6" w:rsidRPr="00586217" w:rsidRDefault="554BAC9A" w:rsidP="122F7DE8">
            <w:r w:rsidRPr="122F7DE8">
              <w:t>Owner/operator to address required/mandated actions in writing if not being implemented.</w:t>
            </w:r>
          </w:p>
          <w:p w14:paraId="650DC4B2" w14:textId="1BEF535A" w:rsidR="00956DC6" w:rsidRPr="00586217" w:rsidRDefault="00956DC6" w:rsidP="122F7DE8"/>
          <w:p w14:paraId="50FF5A04" w14:textId="7ED12053" w:rsidR="00956DC6" w:rsidRPr="00586217" w:rsidRDefault="554BAC9A" w:rsidP="122F7DE8">
            <w:r w:rsidRPr="122F7DE8">
              <w:t>SP001 section 1.2.5</w:t>
            </w:r>
            <w:r w:rsidR="00E46328">
              <w:t xml:space="preserve"> – </w:t>
            </w:r>
          </w:p>
          <w:p w14:paraId="4A98B951" w14:textId="3C33DF9C" w:rsidR="00956DC6" w:rsidRPr="00586217" w:rsidRDefault="554BAC9A" w:rsidP="122F7DE8">
            <w:r w:rsidRPr="122F7DE8">
              <w:t>Owner has responsibility to address requirements/mandated actions.</w:t>
            </w:r>
          </w:p>
          <w:p w14:paraId="479FBB38" w14:textId="3268D00A" w:rsidR="00956DC6" w:rsidRPr="00586217" w:rsidRDefault="282DA764" w:rsidP="122F7DE8">
            <w:r w:rsidRPr="122F7DE8">
              <w:t>Guidance: recommendations vs required/mandated actions</w:t>
            </w:r>
            <w:r w:rsidR="02410F14" w:rsidRPr="122F7DE8">
              <w:t>; certain recommendations may appear to be ‘requirements’</w:t>
            </w:r>
            <w:r w:rsidR="00B045BE">
              <w:t>.</w:t>
            </w:r>
          </w:p>
          <w:p w14:paraId="1683A3D2" w14:textId="608A18E2" w:rsidR="00956DC6" w:rsidRPr="00586217" w:rsidRDefault="00956DC6" w:rsidP="122F7DE8"/>
          <w:p w14:paraId="067B20A2" w14:textId="5A5FABEE" w:rsidR="00956DC6" w:rsidRPr="00586217" w:rsidRDefault="282DA764" w:rsidP="002C7CE1">
            <w:r w:rsidRPr="122F7DE8">
              <w:t>Formal inspection reports vary.</w:t>
            </w:r>
          </w:p>
        </w:tc>
      </w:tr>
      <w:tr w:rsidR="002F0AD8" w:rsidRPr="00586217" w14:paraId="26A12659" w14:textId="77777777" w:rsidTr="00C15C62">
        <w:tc>
          <w:tcPr>
            <w:tcW w:w="1435" w:type="dxa"/>
          </w:tcPr>
          <w:p w14:paraId="3901D703" w14:textId="196AC7FC" w:rsidR="002F0AD8" w:rsidRDefault="00B3594B">
            <w:r>
              <w:lastRenderedPageBreak/>
              <w:t>CCR, Title 23</w:t>
            </w:r>
            <w:r w:rsidR="0086394E">
              <w:t>, Division 3, Chapter 16, Section ______</w:t>
            </w:r>
          </w:p>
        </w:tc>
        <w:tc>
          <w:tcPr>
            <w:tcW w:w="5039" w:type="dxa"/>
          </w:tcPr>
          <w:p w14:paraId="16A26323" w14:textId="453E8C93" w:rsidR="002F0AD8" w:rsidRDefault="002F0AD8">
            <w:r>
              <w:t>Annual testing of leak detection device</w:t>
            </w:r>
            <w:r w:rsidR="005F2B34">
              <w:t xml:space="preserve"> or equipment</w:t>
            </w:r>
            <w:r>
              <w:t xml:space="preserve"> on </w:t>
            </w:r>
            <w:r w:rsidR="001740D4">
              <w:t>piping associated with category (iv) tank</w:t>
            </w:r>
            <w:r w:rsidR="005F2B34">
              <w:t>s</w:t>
            </w:r>
            <w:r w:rsidR="001740D4">
              <w:t xml:space="preserve"> in an underground area (TIUGA)</w:t>
            </w:r>
          </w:p>
        </w:tc>
        <w:tc>
          <w:tcPr>
            <w:tcW w:w="3238" w:type="dxa"/>
          </w:tcPr>
          <w:p w14:paraId="65740401" w14:textId="44FCE1F9" w:rsidR="002F0AD8" w:rsidRDefault="005F2B34">
            <w:r>
              <w:t xml:space="preserve">To ensure proper operation of the leak detection device or equipment.  </w:t>
            </w:r>
            <w:r w:rsidR="001740D4">
              <w:t xml:space="preserve">Prior to TIUGAs being regulated under APSA, these systems were subject to </w:t>
            </w:r>
            <w:r w:rsidR="002E0129">
              <w:t xml:space="preserve">UST </w:t>
            </w:r>
            <w:r w:rsidR="001740D4">
              <w:t>requirements, including leak dete</w:t>
            </w:r>
            <w:r>
              <w:t>ction</w:t>
            </w:r>
            <w:r w:rsidR="002E0129">
              <w:t xml:space="preserve"> on associated piping.  This proposal is consistent with UST requirements.  </w:t>
            </w:r>
          </w:p>
          <w:p w14:paraId="6EC1EF68" w14:textId="2FFC4E1F" w:rsidR="00761334" w:rsidRDefault="00761334" w:rsidP="00B5256A"/>
        </w:tc>
        <w:tc>
          <w:tcPr>
            <w:tcW w:w="4593" w:type="dxa"/>
          </w:tcPr>
          <w:p w14:paraId="1826C908" w14:textId="77777777" w:rsidR="00B5256A" w:rsidRDefault="00B5256A" w:rsidP="00B5256A">
            <w:r>
              <w:t>Ask STI/SPFA: Is this on the monthly or annual inspection checklist?</w:t>
            </w:r>
          </w:p>
          <w:p w14:paraId="210A63BE" w14:textId="3A191140" w:rsidR="002F0AD8" w:rsidRPr="00586217" w:rsidRDefault="002F0AD8" w:rsidP="122F7DE8"/>
        </w:tc>
      </w:tr>
    </w:tbl>
    <w:p w14:paraId="18A4BDE3" w14:textId="03F827D7" w:rsidR="00C43F8B" w:rsidRDefault="00C43F8B" w:rsidP="003C489B"/>
    <w:sectPr w:rsidR="00C43F8B" w:rsidSect="00C15C62">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8EF5" w14:textId="77777777" w:rsidR="00B07442" w:rsidRDefault="00B07442" w:rsidP="00FA0684">
      <w:pPr>
        <w:spacing w:after="0" w:line="240" w:lineRule="auto"/>
      </w:pPr>
      <w:r>
        <w:separator/>
      </w:r>
    </w:p>
  </w:endnote>
  <w:endnote w:type="continuationSeparator" w:id="0">
    <w:p w14:paraId="0C7ED065" w14:textId="77777777" w:rsidR="00B07442" w:rsidRDefault="00B07442" w:rsidP="00FA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65966"/>
      <w:docPartObj>
        <w:docPartGallery w:val="Page Numbers (Bottom of Page)"/>
        <w:docPartUnique/>
      </w:docPartObj>
    </w:sdtPr>
    <w:sdtContent>
      <w:sdt>
        <w:sdtPr>
          <w:id w:val="-1769616900"/>
          <w:docPartObj>
            <w:docPartGallery w:val="Page Numbers (Top of Page)"/>
            <w:docPartUnique/>
          </w:docPartObj>
        </w:sdtPr>
        <w:sdtContent>
          <w:p w14:paraId="3EE41CE6" w14:textId="69F33C84" w:rsidR="00FA0684" w:rsidRPr="00FA0684" w:rsidRDefault="00FA0684" w:rsidP="00FA0684">
            <w:pPr>
              <w:pStyle w:val="Footer"/>
              <w:jc w:val="right"/>
            </w:pPr>
            <w:r w:rsidRPr="00FA0684">
              <w:t xml:space="preserve">Page </w:t>
            </w:r>
            <w:r w:rsidRPr="00FA0684">
              <w:fldChar w:fldCharType="begin"/>
            </w:r>
            <w:r w:rsidRPr="00FA0684">
              <w:instrText xml:space="preserve"> PAGE </w:instrText>
            </w:r>
            <w:r w:rsidRPr="00FA0684">
              <w:fldChar w:fldCharType="separate"/>
            </w:r>
            <w:r w:rsidRPr="00FA0684">
              <w:rPr>
                <w:noProof/>
              </w:rPr>
              <w:t>2</w:t>
            </w:r>
            <w:r w:rsidRPr="00FA0684">
              <w:fldChar w:fldCharType="end"/>
            </w:r>
            <w:r w:rsidRPr="00FA0684">
              <w:t xml:space="preserve"> of </w:t>
            </w:r>
            <w:r w:rsidRPr="00FA0684">
              <w:fldChar w:fldCharType="begin"/>
            </w:r>
            <w:r w:rsidRPr="00FA0684">
              <w:instrText xml:space="preserve"> NUMPAGES  </w:instrText>
            </w:r>
            <w:r w:rsidRPr="00FA0684">
              <w:fldChar w:fldCharType="separate"/>
            </w:r>
            <w:r w:rsidRPr="00FA0684">
              <w:rPr>
                <w:noProof/>
              </w:rPr>
              <w:t>2</w:t>
            </w:r>
            <w:r w:rsidRPr="00FA0684">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C29D" w14:textId="77777777" w:rsidR="00B07442" w:rsidRDefault="00B07442" w:rsidP="00FA0684">
      <w:pPr>
        <w:spacing w:after="0" w:line="240" w:lineRule="auto"/>
      </w:pPr>
      <w:r>
        <w:separator/>
      </w:r>
    </w:p>
  </w:footnote>
  <w:footnote w:type="continuationSeparator" w:id="0">
    <w:p w14:paraId="3D6C8CC5" w14:textId="77777777" w:rsidR="00B07442" w:rsidRDefault="00B07442" w:rsidP="00FA0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024"/>
    <w:multiLevelType w:val="hybridMultilevel"/>
    <w:tmpl w:val="7494E252"/>
    <w:lvl w:ilvl="0" w:tplc="F08A7FB2">
      <w:start w:val="1"/>
      <w:numFmt w:val="lowerLetter"/>
      <w:lvlText w:val="(%1)"/>
      <w:lvlJc w:val="left"/>
      <w:pPr>
        <w:ind w:left="91" w:hanging="360"/>
        <w:jc w:val="left"/>
      </w:pPr>
      <w:rPr>
        <w:rFonts w:ascii="Arial" w:eastAsia="Arial" w:hAnsi="Arial" w:cs="Arial" w:hint="default"/>
        <w:b w:val="0"/>
        <w:bCs w:val="0"/>
        <w:i w:val="0"/>
        <w:iCs w:val="0"/>
        <w:spacing w:val="-1"/>
        <w:w w:val="93"/>
        <w:sz w:val="24"/>
        <w:szCs w:val="24"/>
        <w:u w:val="none"/>
        <w:lang w:val="en-US" w:eastAsia="en-US" w:bidi="ar-SA"/>
      </w:rPr>
    </w:lvl>
    <w:lvl w:ilvl="1" w:tplc="EF82D01E">
      <w:start w:val="1"/>
      <w:numFmt w:val="decimal"/>
      <w:lvlText w:val="(%2)"/>
      <w:lvlJc w:val="left"/>
      <w:pPr>
        <w:ind w:left="451" w:hanging="360"/>
        <w:jc w:val="left"/>
      </w:pPr>
      <w:rPr>
        <w:rFonts w:ascii="Arial" w:eastAsia="Arial" w:hAnsi="Arial" w:cs="Arial" w:hint="default"/>
        <w:b w:val="0"/>
        <w:bCs w:val="0"/>
        <w:i w:val="0"/>
        <w:iCs w:val="0"/>
        <w:spacing w:val="-1"/>
        <w:w w:val="93"/>
        <w:sz w:val="24"/>
        <w:szCs w:val="24"/>
        <w:u w:val="none"/>
        <w:lang w:val="en-US" w:eastAsia="en-US" w:bidi="ar-SA"/>
      </w:rPr>
    </w:lvl>
    <w:lvl w:ilvl="2" w:tplc="46B608C8">
      <w:numFmt w:val="bullet"/>
      <w:lvlText w:val="•"/>
      <w:lvlJc w:val="left"/>
      <w:pPr>
        <w:ind w:left="1448" w:hanging="360"/>
      </w:pPr>
      <w:rPr>
        <w:rFonts w:hint="default"/>
        <w:lang w:val="en-US" w:eastAsia="en-US" w:bidi="ar-SA"/>
      </w:rPr>
    </w:lvl>
    <w:lvl w:ilvl="3" w:tplc="2C9A9E7A">
      <w:numFmt w:val="bullet"/>
      <w:lvlText w:val="•"/>
      <w:lvlJc w:val="left"/>
      <w:pPr>
        <w:ind w:left="2437" w:hanging="360"/>
      </w:pPr>
      <w:rPr>
        <w:rFonts w:hint="default"/>
        <w:lang w:val="en-US" w:eastAsia="en-US" w:bidi="ar-SA"/>
      </w:rPr>
    </w:lvl>
    <w:lvl w:ilvl="4" w:tplc="306CE786">
      <w:numFmt w:val="bullet"/>
      <w:lvlText w:val="•"/>
      <w:lvlJc w:val="left"/>
      <w:pPr>
        <w:ind w:left="3426" w:hanging="360"/>
      </w:pPr>
      <w:rPr>
        <w:rFonts w:hint="default"/>
        <w:lang w:val="en-US" w:eastAsia="en-US" w:bidi="ar-SA"/>
      </w:rPr>
    </w:lvl>
    <w:lvl w:ilvl="5" w:tplc="B9D23BA6">
      <w:numFmt w:val="bullet"/>
      <w:lvlText w:val="•"/>
      <w:lvlJc w:val="left"/>
      <w:pPr>
        <w:ind w:left="4415" w:hanging="360"/>
      </w:pPr>
      <w:rPr>
        <w:rFonts w:hint="default"/>
        <w:lang w:val="en-US" w:eastAsia="en-US" w:bidi="ar-SA"/>
      </w:rPr>
    </w:lvl>
    <w:lvl w:ilvl="6" w:tplc="9ECA18EE">
      <w:numFmt w:val="bullet"/>
      <w:lvlText w:val="•"/>
      <w:lvlJc w:val="left"/>
      <w:pPr>
        <w:ind w:left="5404" w:hanging="360"/>
      </w:pPr>
      <w:rPr>
        <w:rFonts w:hint="default"/>
        <w:lang w:val="en-US" w:eastAsia="en-US" w:bidi="ar-SA"/>
      </w:rPr>
    </w:lvl>
    <w:lvl w:ilvl="7" w:tplc="BD8411E6">
      <w:numFmt w:val="bullet"/>
      <w:lvlText w:val="•"/>
      <w:lvlJc w:val="left"/>
      <w:pPr>
        <w:ind w:left="6393" w:hanging="360"/>
      </w:pPr>
      <w:rPr>
        <w:rFonts w:hint="default"/>
        <w:lang w:val="en-US" w:eastAsia="en-US" w:bidi="ar-SA"/>
      </w:rPr>
    </w:lvl>
    <w:lvl w:ilvl="8" w:tplc="1DE64142">
      <w:numFmt w:val="bullet"/>
      <w:lvlText w:val="•"/>
      <w:lvlJc w:val="left"/>
      <w:pPr>
        <w:ind w:left="7382" w:hanging="360"/>
      </w:pPr>
      <w:rPr>
        <w:rFonts w:hint="default"/>
        <w:lang w:val="en-US" w:eastAsia="en-US" w:bidi="ar-SA"/>
      </w:rPr>
    </w:lvl>
  </w:abstractNum>
  <w:abstractNum w:abstractNumId="1" w15:restartNumberingAfterBreak="0">
    <w:nsid w:val="6DE776E2"/>
    <w:multiLevelType w:val="hybridMultilevel"/>
    <w:tmpl w:val="A2EE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39593">
    <w:abstractNumId w:val="0"/>
  </w:num>
  <w:num w:numId="2" w16cid:durableId="166169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8B"/>
    <w:rsid w:val="00003070"/>
    <w:rsid w:val="00034C71"/>
    <w:rsid w:val="0006610D"/>
    <w:rsid w:val="00087820"/>
    <w:rsid w:val="00095654"/>
    <w:rsid w:val="0009597E"/>
    <w:rsid w:val="000B7B8A"/>
    <w:rsid w:val="000D129E"/>
    <w:rsid w:val="000F6CAB"/>
    <w:rsid w:val="00121093"/>
    <w:rsid w:val="00172E9F"/>
    <w:rsid w:val="001740D4"/>
    <w:rsid w:val="00177D60"/>
    <w:rsid w:val="00186668"/>
    <w:rsid w:val="001F2A94"/>
    <w:rsid w:val="0022401E"/>
    <w:rsid w:val="00232771"/>
    <w:rsid w:val="002437DA"/>
    <w:rsid w:val="00257450"/>
    <w:rsid w:val="00257750"/>
    <w:rsid w:val="00273C34"/>
    <w:rsid w:val="0027676C"/>
    <w:rsid w:val="00281C9B"/>
    <w:rsid w:val="002C7CE1"/>
    <w:rsid w:val="002E0129"/>
    <w:rsid w:val="002F0AD8"/>
    <w:rsid w:val="00300F70"/>
    <w:rsid w:val="00321E89"/>
    <w:rsid w:val="00325063"/>
    <w:rsid w:val="00345B6D"/>
    <w:rsid w:val="0035642D"/>
    <w:rsid w:val="00362D2B"/>
    <w:rsid w:val="003746C6"/>
    <w:rsid w:val="00375B4C"/>
    <w:rsid w:val="003A191E"/>
    <w:rsid w:val="003A3592"/>
    <w:rsid w:val="003B01EC"/>
    <w:rsid w:val="003C2C57"/>
    <w:rsid w:val="003C489B"/>
    <w:rsid w:val="003F128E"/>
    <w:rsid w:val="004421E1"/>
    <w:rsid w:val="00456B16"/>
    <w:rsid w:val="00460045"/>
    <w:rsid w:val="00467FA1"/>
    <w:rsid w:val="0049607B"/>
    <w:rsid w:val="004A1630"/>
    <w:rsid w:val="004C1602"/>
    <w:rsid w:val="004C1F2B"/>
    <w:rsid w:val="004F1116"/>
    <w:rsid w:val="00502D94"/>
    <w:rsid w:val="00522F02"/>
    <w:rsid w:val="00526E7D"/>
    <w:rsid w:val="005323FF"/>
    <w:rsid w:val="005425FE"/>
    <w:rsid w:val="00544F0F"/>
    <w:rsid w:val="0055364D"/>
    <w:rsid w:val="00566FBE"/>
    <w:rsid w:val="00586217"/>
    <w:rsid w:val="00586796"/>
    <w:rsid w:val="005A1743"/>
    <w:rsid w:val="005A7239"/>
    <w:rsid w:val="005F049E"/>
    <w:rsid w:val="005F2B34"/>
    <w:rsid w:val="00601F49"/>
    <w:rsid w:val="0062155D"/>
    <w:rsid w:val="0062161C"/>
    <w:rsid w:val="00624F24"/>
    <w:rsid w:val="006335E2"/>
    <w:rsid w:val="00674740"/>
    <w:rsid w:val="00682A34"/>
    <w:rsid w:val="00682C36"/>
    <w:rsid w:val="00684702"/>
    <w:rsid w:val="00697D4A"/>
    <w:rsid w:val="00721C6F"/>
    <w:rsid w:val="0073022C"/>
    <w:rsid w:val="0073305C"/>
    <w:rsid w:val="00737245"/>
    <w:rsid w:val="007448C3"/>
    <w:rsid w:val="00760483"/>
    <w:rsid w:val="00761334"/>
    <w:rsid w:val="007819AF"/>
    <w:rsid w:val="007B7603"/>
    <w:rsid w:val="007C5DFA"/>
    <w:rsid w:val="007D0708"/>
    <w:rsid w:val="00816EF7"/>
    <w:rsid w:val="00820C63"/>
    <w:rsid w:val="008257CA"/>
    <w:rsid w:val="0083646A"/>
    <w:rsid w:val="008469D4"/>
    <w:rsid w:val="00862B23"/>
    <w:rsid w:val="0086394E"/>
    <w:rsid w:val="00872F36"/>
    <w:rsid w:val="00882C6D"/>
    <w:rsid w:val="008B1D9E"/>
    <w:rsid w:val="008B7E24"/>
    <w:rsid w:val="008C3134"/>
    <w:rsid w:val="008D750B"/>
    <w:rsid w:val="008F0473"/>
    <w:rsid w:val="008F2739"/>
    <w:rsid w:val="009035A8"/>
    <w:rsid w:val="00915A94"/>
    <w:rsid w:val="00922A15"/>
    <w:rsid w:val="009304D6"/>
    <w:rsid w:val="00954CFF"/>
    <w:rsid w:val="0095507F"/>
    <w:rsid w:val="00956DC6"/>
    <w:rsid w:val="009616D8"/>
    <w:rsid w:val="009835E8"/>
    <w:rsid w:val="009A0302"/>
    <w:rsid w:val="009A1F56"/>
    <w:rsid w:val="00A838D6"/>
    <w:rsid w:val="00A86E9F"/>
    <w:rsid w:val="00B01E7C"/>
    <w:rsid w:val="00B045BE"/>
    <w:rsid w:val="00B07442"/>
    <w:rsid w:val="00B2118B"/>
    <w:rsid w:val="00B3594B"/>
    <w:rsid w:val="00B43FB7"/>
    <w:rsid w:val="00B5256A"/>
    <w:rsid w:val="00B62407"/>
    <w:rsid w:val="00B652BB"/>
    <w:rsid w:val="00B94E28"/>
    <w:rsid w:val="00BB245E"/>
    <w:rsid w:val="00BB4CAC"/>
    <w:rsid w:val="00BB587E"/>
    <w:rsid w:val="00BC70D6"/>
    <w:rsid w:val="00BD4C0E"/>
    <w:rsid w:val="00BF2DE1"/>
    <w:rsid w:val="00C00BA0"/>
    <w:rsid w:val="00C0C773"/>
    <w:rsid w:val="00C15C62"/>
    <w:rsid w:val="00C43F8B"/>
    <w:rsid w:val="00C60750"/>
    <w:rsid w:val="00C707E8"/>
    <w:rsid w:val="00C91ED1"/>
    <w:rsid w:val="00CB5027"/>
    <w:rsid w:val="00CC397B"/>
    <w:rsid w:val="00D046AB"/>
    <w:rsid w:val="00D40B20"/>
    <w:rsid w:val="00D421F4"/>
    <w:rsid w:val="00D538CC"/>
    <w:rsid w:val="00D53912"/>
    <w:rsid w:val="00D90412"/>
    <w:rsid w:val="00D91BAA"/>
    <w:rsid w:val="00DA30FC"/>
    <w:rsid w:val="00DB2578"/>
    <w:rsid w:val="00DC13A7"/>
    <w:rsid w:val="00E40B40"/>
    <w:rsid w:val="00E45B2B"/>
    <w:rsid w:val="00E46328"/>
    <w:rsid w:val="00E60AD3"/>
    <w:rsid w:val="00EA3541"/>
    <w:rsid w:val="00EF3D00"/>
    <w:rsid w:val="00F039EC"/>
    <w:rsid w:val="00F30135"/>
    <w:rsid w:val="00F352D8"/>
    <w:rsid w:val="00F6107A"/>
    <w:rsid w:val="00F70FB0"/>
    <w:rsid w:val="00F72233"/>
    <w:rsid w:val="00F86182"/>
    <w:rsid w:val="00FA0684"/>
    <w:rsid w:val="00FA26D2"/>
    <w:rsid w:val="00FC124F"/>
    <w:rsid w:val="00FF3DA2"/>
    <w:rsid w:val="02410F14"/>
    <w:rsid w:val="04A88277"/>
    <w:rsid w:val="04EEB6C9"/>
    <w:rsid w:val="04FB0A67"/>
    <w:rsid w:val="059858E9"/>
    <w:rsid w:val="05E2CC2F"/>
    <w:rsid w:val="079BF675"/>
    <w:rsid w:val="08B8ACC5"/>
    <w:rsid w:val="0D155D9B"/>
    <w:rsid w:val="0F0374A2"/>
    <w:rsid w:val="0F76BE44"/>
    <w:rsid w:val="1206B4A0"/>
    <w:rsid w:val="122F7DE8"/>
    <w:rsid w:val="16D775A7"/>
    <w:rsid w:val="16DB453B"/>
    <w:rsid w:val="16E9463E"/>
    <w:rsid w:val="1722CF3E"/>
    <w:rsid w:val="1751495C"/>
    <w:rsid w:val="1C6A75D2"/>
    <w:rsid w:val="1D0CF536"/>
    <w:rsid w:val="1F1CDA3E"/>
    <w:rsid w:val="209FF241"/>
    <w:rsid w:val="20D9DDD8"/>
    <w:rsid w:val="2133A448"/>
    <w:rsid w:val="216D55FF"/>
    <w:rsid w:val="21A9A55E"/>
    <w:rsid w:val="23D2B283"/>
    <w:rsid w:val="23F86EF2"/>
    <w:rsid w:val="2493BA01"/>
    <w:rsid w:val="24AB2329"/>
    <w:rsid w:val="26C83E88"/>
    <w:rsid w:val="271DD5CF"/>
    <w:rsid w:val="27C1FC46"/>
    <w:rsid w:val="282DA764"/>
    <w:rsid w:val="28EE21F0"/>
    <w:rsid w:val="2B7CAC37"/>
    <w:rsid w:val="2EFB0506"/>
    <w:rsid w:val="2F3039AF"/>
    <w:rsid w:val="32DDC95A"/>
    <w:rsid w:val="383A8B1A"/>
    <w:rsid w:val="38F985E1"/>
    <w:rsid w:val="3A4BFBB2"/>
    <w:rsid w:val="3D3A1C04"/>
    <w:rsid w:val="3F40B576"/>
    <w:rsid w:val="3F70828D"/>
    <w:rsid w:val="3FE113D9"/>
    <w:rsid w:val="40A56B98"/>
    <w:rsid w:val="4237DB88"/>
    <w:rsid w:val="434B866B"/>
    <w:rsid w:val="450860D6"/>
    <w:rsid w:val="452BCAB1"/>
    <w:rsid w:val="454E8EFA"/>
    <w:rsid w:val="46E1324B"/>
    <w:rsid w:val="47363A3A"/>
    <w:rsid w:val="4955D037"/>
    <w:rsid w:val="4BA2AE7F"/>
    <w:rsid w:val="4BD31E2B"/>
    <w:rsid w:val="4D209BCA"/>
    <w:rsid w:val="4D2A9C83"/>
    <w:rsid w:val="4E0FA0BB"/>
    <w:rsid w:val="5163430F"/>
    <w:rsid w:val="5194B079"/>
    <w:rsid w:val="5227209B"/>
    <w:rsid w:val="548A1349"/>
    <w:rsid w:val="5547E93B"/>
    <w:rsid w:val="554BAC9A"/>
    <w:rsid w:val="57C64482"/>
    <w:rsid w:val="5A099A4E"/>
    <w:rsid w:val="5A5695C7"/>
    <w:rsid w:val="5B3A2A0B"/>
    <w:rsid w:val="5F006A0D"/>
    <w:rsid w:val="614A36D0"/>
    <w:rsid w:val="65D75DD6"/>
    <w:rsid w:val="6613326E"/>
    <w:rsid w:val="6742329C"/>
    <w:rsid w:val="6842E531"/>
    <w:rsid w:val="689D11B5"/>
    <w:rsid w:val="69FAD87B"/>
    <w:rsid w:val="6BE4E98D"/>
    <w:rsid w:val="6C4AAAA0"/>
    <w:rsid w:val="6C8E6D8B"/>
    <w:rsid w:val="6C96882F"/>
    <w:rsid w:val="6CC73AEF"/>
    <w:rsid w:val="6D779581"/>
    <w:rsid w:val="6FE10401"/>
    <w:rsid w:val="70960EFD"/>
    <w:rsid w:val="710E13D9"/>
    <w:rsid w:val="7198692D"/>
    <w:rsid w:val="73D08F7A"/>
    <w:rsid w:val="754B8784"/>
    <w:rsid w:val="757A2BCB"/>
    <w:rsid w:val="78DB974C"/>
    <w:rsid w:val="79C64E8C"/>
    <w:rsid w:val="7BD4D556"/>
    <w:rsid w:val="7C020478"/>
    <w:rsid w:val="7C6C2156"/>
    <w:rsid w:val="7DE4EBC0"/>
    <w:rsid w:val="7E65017B"/>
    <w:rsid w:val="7FA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9D9D"/>
  <w15:chartTrackingRefBased/>
  <w15:docId w15:val="{5E4F08D7-C574-48D7-AD04-0462E05E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F8B"/>
    <w:rPr>
      <w:rFonts w:eastAsiaTheme="majorEastAsia" w:cstheme="majorBidi"/>
      <w:color w:val="272727" w:themeColor="text1" w:themeTint="D8"/>
    </w:rPr>
  </w:style>
  <w:style w:type="paragraph" w:styleId="Title">
    <w:name w:val="Title"/>
    <w:basedOn w:val="Normal"/>
    <w:next w:val="Normal"/>
    <w:link w:val="TitleChar"/>
    <w:uiPriority w:val="10"/>
    <w:qFormat/>
    <w:rsid w:val="00C43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F8B"/>
    <w:pPr>
      <w:spacing w:before="160"/>
      <w:jc w:val="center"/>
    </w:pPr>
    <w:rPr>
      <w:i/>
      <w:iCs/>
      <w:color w:val="404040" w:themeColor="text1" w:themeTint="BF"/>
    </w:rPr>
  </w:style>
  <w:style w:type="character" w:customStyle="1" w:styleId="QuoteChar">
    <w:name w:val="Quote Char"/>
    <w:basedOn w:val="DefaultParagraphFont"/>
    <w:link w:val="Quote"/>
    <w:uiPriority w:val="29"/>
    <w:rsid w:val="00C43F8B"/>
    <w:rPr>
      <w:i/>
      <w:iCs/>
      <w:color w:val="404040" w:themeColor="text1" w:themeTint="BF"/>
    </w:rPr>
  </w:style>
  <w:style w:type="paragraph" w:styleId="ListParagraph">
    <w:name w:val="List Paragraph"/>
    <w:basedOn w:val="Normal"/>
    <w:uiPriority w:val="1"/>
    <w:qFormat/>
    <w:rsid w:val="00C43F8B"/>
    <w:pPr>
      <w:ind w:left="720"/>
      <w:contextualSpacing/>
    </w:pPr>
  </w:style>
  <w:style w:type="character" w:styleId="IntenseEmphasis">
    <w:name w:val="Intense Emphasis"/>
    <w:basedOn w:val="DefaultParagraphFont"/>
    <w:uiPriority w:val="21"/>
    <w:qFormat/>
    <w:rsid w:val="00C43F8B"/>
    <w:rPr>
      <w:i/>
      <w:iCs/>
      <w:color w:val="0F4761" w:themeColor="accent1" w:themeShade="BF"/>
    </w:rPr>
  </w:style>
  <w:style w:type="paragraph" w:styleId="IntenseQuote">
    <w:name w:val="Intense Quote"/>
    <w:basedOn w:val="Normal"/>
    <w:next w:val="Normal"/>
    <w:link w:val="IntenseQuoteChar"/>
    <w:uiPriority w:val="30"/>
    <w:qFormat/>
    <w:rsid w:val="00C43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F8B"/>
    <w:rPr>
      <w:i/>
      <w:iCs/>
      <w:color w:val="0F4761" w:themeColor="accent1" w:themeShade="BF"/>
    </w:rPr>
  </w:style>
  <w:style w:type="character" w:styleId="IntenseReference">
    <w:name w:val="Intense Reference"/>
    <w:basedOn w:val="DefaultParagraphFont"/>
    <w:uiPriority w:val="32"/>
    <w:qFormat/>
    <w:rsid w:val="00C43F8B"/>
    <w:rPr>
      <w:b/>
      <w:bCs/>
      <w:smallCaps/>
      <w:color w:val="0F4761" w:themeColor="accent1" w:themeShade="BF"/>
      <w:spacing w:val="5"/>
    </w:rPr>
  </w:style>
  <w:style w:type="table" w:styleId="TableGrid">
    <w:name w:val="Table Grid"/>
    <w:basedOn w:val="TableNormal"/>
    <w:uiPriority w:val="39"/>
    <w:rsid w:val="00C4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43F8B"/>
    <w:pPr>
      <w:widowControl w:val="0"/>
      <w:autoSpaceDE w:val="0"/>
      <w:autoSpaceDN w:val="0"/>
      <w:spacing w:after="0" w:line="240" w:lineRule="auto"/>
      <w:ind w:left="91"/>
    </w:pPr>
    <w:rPr>
      <w:rFonts w:ascii="Arial" w:eastAsia="Arial" w:hAnsi="Arial" w:cs="Arial"/>
      <w:kern w:val="0"/>
      <w:u w:val="single" w:color="000000"/>
      <w14:ligatures w14:val="none"/>
    </w:rPr>
  </w:style>
  <w:style w:type="character" w:customStyle="1" w:styleId="BodyTextChar">
    <w:name w:val="Body Text Char"/>
    <w:basedOn w:val="DefaultParagraphFont"/>
    <w:link w:val="BodyText"/>
    <w:uiPriority w:val="1"/>
    <w:rsid w:val="00C43F8B"/>
    <w:rPr>
      <w:rFonts w:ascii="Arial" w:eastAsia="Arial" w:hAnsi="Arial" w:cs="Arial"/>
      <w:kern w:val="0"/>
      <w:u w:val="single" w:color="000000"/>
      <w14:ligatures w14:val="none"/>
    </w:rPr>
  </w:style>
  <w:style w:type="paragraph" w:styleId="Header">
    <w:name w:val="header"/>
    <w:basedOn w:val="Normal"/>
    <w:link w:val="HeaderChar"/>
    <w:uiPriority w:val="99"/>
    <w:unhideWhenUsed/>
    <w:rsid w:val="00FA0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684"/>
  </w:style>
  <w:style w:type="paragraph" w:styleId="Footer">
    <w:name w:val="footer"/>
    <w:basedOn w:val="Normal"/>
    <w:link w:val="FooterChar"/>
    <w:uiPriority w:val="99"/>
    <w:unhideWhenUsed/>
    <w:rsid w:val="00FA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684"/>
  </w:style>
  <w:style w:type="character" w:styleId="Hyperlink">
    <w:name w:val="Hyperlink"/>
    <w:basedOn w:val="DefaultParagraphFont"/>
    <w:uiPriority w:val="99"/>
    <w:unhideWhenUsed/>
    <w:rsid w:val="122F7DE8"/>
    <w:rPr>
      <w:color w:val="467886"/>
      <w:u w:val="single"/>
    </w:rPr>
  </w:style>
  <w:style w:type="paragraph" w:styleId="Revision">
    <w:name w:val="Revision"/>
    <w:hidden/>
    <w:uiPriority w:val="99"/>
    <w:semiHidden/>
    <w:rsid w:val="0049607B"/>
    <w:pPr>
      <w:spacing w:after="0" w:line="240" w:lineRule="auto"/>
    </w:pPr>
  </w:style>
  <w:style w:type="character" w:styleId="CommentReference">
    <w:name w:val="annotation reference"/>
    <w:basedOn w:val="DefaultParagraphFont"/>
    <w:uiPriority w:val="99"/>
    <w:semiHidden/>
    <w:unhideWhenUsed/>
    <w:rsid w:val="00C707E8"/>
    <w:rPr>
      <w:sz w:val="16"/>
      <w:szCs w:val="16"/>
    </w:rPr>
  </w:style>
  <w:style w:type="paragraph" w:styleId="CommentText">
    <w:name w:val="annotation text"/>
    <w:basedOn w:val="Normal"/>
    <w:link w:val="CommentTextChar"/>
    <w:uiPriority w:val="99"/>
    <w:unhideWhenUsed/>
    <w:rsid w:val="00C707E8"/>
    <w:pPr>
      <w:spacing w:line="240" w:lineRule="auto"/>
    </w:pPr>
    <w:rPr>
      <w:sz w:val="20"/>
      <w:szCs w:val="20"/>
    </w:rPr>
  </w:style>
  <w:style w:type="character" w:customStyle="1" w:styleId="CommentTextChar">
    <w:name w:val="Comment Text Char"/>
    <w:basedOn w:val="DefaultParagraphFont"/>
    <w:link w:val="CommentText"/>
    <w:uiPriority w:val="99"/>
    <w:rsid w:val="00C707E8"/>
    <w:rPr>
      <w:sz w:val="20"/>
      <w:szCs w:val="20"/>
    </w:rPr>
  </w:style>
  <w:style w:type="paragraph" w:styleId="CommentSubject">
    <w:name w:val="annotation subject"/>
    <w:basedOn w:val="CommentText"/>
    <w:next w:val="CommentText"/>
    <w:link w:val="CommentSubjectChar"/>
    <w:uiPriority w:val="99"/>
    <w:semiHidden/>
    <w:unhideWhenUsed/>
    <w:rsid w:val="00C707E8"/>
    <w:rPr>
      <w:b/>
      <w:bCs/>
    </w:rPr>
  </w:style>
  <w:style w:type="character" w:customStyle="1" w:styleId="CommentSubjectChar">
    <w:name w:val="Comment Subject Char"/>
    <w:basedOn w:val="CommentTextChar"/>
    <w:link w:val="CommentSubject"/>
    <w:uiPriority w:val="99"/>
    <w:semiHidden/>
    <w:rsid w:val="00C707E8"/>
    <w:rPr>
      <w:b/>
      <w:bCs/>
      <w:sz w:val="20"/>
      <w:szCs w:val="20"/>
    </w:rPr>
  </w:style>
  <w:style w:type="character" w:styleId="FollowedHyperlink">
    <w:name w:val="FollowedHyperlink"/>
    <w:basedOn w:val="DefaultParagraphFont"/>
    <w:uiPriority w:val="99"/>
    <w:semiHidden/>
    <w:unhideWhenUsed/>
    <w:rsid w:val="00CC39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AFC2022P3_Pt05_Ch50_Sec5001.5/338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BF08DABFAC94E91864D3E3D04624A" ma:contentTypeVersion="12" ma:contentTypeDescription="Create a new document." ma:contentTypeScope="" ma:versionID="5f4f756142dd35c998b8621f64639918">
  <xsd:schema xmlns:xsd="http://www.w3.org/2001/XMLSchema" xmlns:xs="http://www.w3.org/2001/XMLSchema" xmlns:p="http://schemas.microsoft.com/office/2006/metadata/properties" xmlns:ns2="9fcbdc64-fb5e-454b-b540-ed5cf3fd43e5" xmlns:ns3="6bf2e111-45fa-4d8a-8f9a-191546964796" targetNamespace="http://schemas.microsoft.com/office/2006/metadata/properties" ma:root="true" ma:fieldsID="1ac51f0303b62fe51c075f236fb4344f" ns2:_="" ns3:_="">
    <xsd:import namespace="9fcbdc64-fb5e-454b-b540-ed5cf3fd43e5"/>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bdc64-fb5e-454b-b540-ed5cf3fd4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2491f1-cdd4-40c7-81a0-51676ab15ea9}" ma:internalName="TaxCatchAll" ma:showField="CatchAllData" ma:web="8fa3e409-3e36-4187-a85f-77346f72d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2e111-45fa-4d8a-8f9a-191546964796" xsi:nil="true"/>
    <lcf76f155ced4ddcb4097134ff3c332f xmlns="9fcbdc64-fb5e-454b-b540-ed5cf3fd43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B8C9-C707-49D5-9AA2-791D0B1A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bdc64-fb5e-454b-b540-ed5cf3fd43e5"/>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ABEAE-4396-43B0-9911-87355590D54C}">
  <ds:schemaRefs>
    <ds:schemaRef ds:uri="http://schemas.microsoft.com/office/2006/metadata/properties"/>
    <ds:schemaRef ds:uri="http://schemas.microsoft.com/office/infopath/2007/PartnerControls"/>
    <ds:schemaRef ds:uri="6bf2e111-45fa-4d8a-8f9a-191546964796"/>
    <ds:schemaRef ds:uri="9fcbdc64-fb5e-454b-b540-ed5cf3fd43e5"/>
  </ds:schemaRefs>
</ds:datastoreItem>
</file>

<file path=customXml/itemProps3.xml><?xml version="1.0" encoding="utf-8"?>
<ds:datastoreItem xmlns:ds="http://schemas.openxmlformats.org/officeDocument/2006/customXml" ds:itemID="{779CC3DE-275F-47CC-AE87-BFD74B444340}">
  <ds:schemaRefs>
    <ds:schemaRef ds:uri="http://schemas.microsoft.com/sharepoint/v3/contenttype/forms"/>
  </ds:schemaRefs>
</ds:datastoreItem>
</file>

<file path=customXml/itemProps4.xml><?xml version="1.0" encoding="utf-8"?>
<ds:datastoreItem xmlns:ds="http://schemas.openxmlformats.org/officeDocument/2006/customXml" ds:itemID="{40C71702-7BED-4A91-B5A5-B8B2A103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Jennifer@CALFIRE</dc:creator>
  <cp:keywords/>
  <dc:description/>
  <cp:lastModifiedBy>Lorenzo, Jennifer@CALFIRE</cp:lastModifiedBy>
  <cp:revision>50</cp:revision>
  <dcterms:created xsi:type="dcterms:W3CDTF">2025-10-02T00:07:00Z</dcterms:created>
  <dcterms:modified xsi:type="dcterms:W3CDTF">2025-10-02T00:56:00Z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0x010100D24BF08DABFAC94E91864D3E3D04624A</vt:lpwstr>
  </property>
  <property fmtid="{D5CDD505-2E9C-101B-9397-08002B2CF9AE}" pid="3" name="MediaServiceImageTags">
    <vt:lpwstr/>
  </property>
</Properties>
</file>