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90" w:type="dxa"/>
        <w:tblInd w:w="-95" w:type="dxa"/>
        <w:tblLook w:val="04A0" w:firstRow="1" w:lastRow="0" w:firstColumn="1" w:lastColumn="0" w:noHBand="0" w:noVBand="1"/>
      </w:tblPr>
      <w:tblGrid>
        <w:gridCol w:w="2324"/>
        <w:gridCol w:w="7126"/>
        <w:gridCol w:w="5040"/>
      </w:tblGrid>
      <w:tr w:rsidR="000A52B7" w:rsidRPr="000A5FA5" w14:paraId="6E6E40EF" w14:textId="77777777" w:rsidTr="00BA3921">
        <w:tc>
          <w:tcPr>
            <w:tcW w:w="2324" w:type="dxa"/>
          </w:tcPr>
          <w:p w14:paraId="0A46083F" w14:textId="3BE7B93B" w:rsidR="008F7557" w:rsidRPr="00E55F49" w:rsidRDefault="00AC16FC">
            <w:pPr>
              <w:rPr>
                <w:rFonts w:ascii="Arial" w:hAnsi="Arial" w:cs="Arial"/>
                <w:b/>
                <w:bCs/>
                <w:sz w:val="24"/>
                <w:szCs w:val="24"/>
              </w:rPr>
            </w:pPr>
            <w:r w:rsidRPr="00E55F49">
              <w:rPr>
                <w:rFonts w:ascii="Arial" w:hAnsi="Arial" w:cs="Arial"/>
                <w:b/>
                <w:bCs/>
                <w:sz w:val="24"/>
                <w:szCs w:val="24"/>
              </w:rPr>
              <w:t>Acronyms</w:t>
            </w:r>
          </w:p>
        </w:tc>
        <w:tc>
          <w:tcPr>
            <w:tcW w:w="7126" w:type="dxa"/>
          </w:tcPr>
          <w:p w14:paraId="5D5574AD" w14:textId="77777777" w:rsidR="008F7557" w:rsidRDefault="00CA7F1D">
            <w:pPr>
              <w:rPr>
                <w:rFonts w:ascii="Arial" w:hAnsi="Arial" w:cs="Arial"/>
                <w:sz w:val="24"/>
                <w:szCs w:val="24"/>
              </w:rPr>
            </w:pPr>
            <w:r>
              <w:rPr>
                <w:rFonts w:ascii="Arial" w:hAnsi="Arial" w:cs="Arial"/>
                <w:sz w:val="24"/>
                <w:szCs w:val="24"/>
              </w:rPr>
              <w:t xml:space="preserve">APSA </w:t>
            </w:r>
            <w:r w:rsidR="00AF6628">
              <w:rPr>
                <w:rFonts w:ascii="Arial" w:hAnsi="Arial" w:cs="Arial"/>
                <w:sz w:val="24"/>
                <w:szCs w:val="24"/>
              </w:rPr>
              <w:t xml:space="preserve">– </w:t>
            </w:r>
            <w:r>
              <w:rPr>
                <w:rFonts w:ascii="Arial" w:hAnsi="Arial" w:cs="Arial"/>
                <w:sz w:val="24"/>
                <w:szCs w:val="24"/>
              </w:rPr>
              <w:t>Aboveground Petroleum Storage Act</w:t>
            </w:r>
          </w:p>
          <w:p w14:paraId="33C2089B" w14:textId="77777777" w:rsidR="00AF6628" w:rsidRDefault="00AF6628">
            <w:pPr>
              <w:rPr>
                <w:rFonts w:ascii="Arial" w:hAnsi="Arial" w:cs="Arial"/>
                <w:sz w:val="24"/>
                <w:szCs w:val="24"/>
              </w:rPr>
            </w:pPr>
            <w:r>
              <w:rPr>
                <w:rFonts w:ascii="Arial" w:hAnsi="Arial" w:cs="Arial"/>
                <w:sz w:val="24"/>
                <w:szCs w:val="24"/>
              </w:rPr>
              <w:t>AST – aboveground storage tank</w:t>
            </w:r>
          </w:p>
          <w:p w14:paraId="3B2ECE64" w14:textId="4DF4D64E" w:rsidR="005F0986" w:rsidRDefault="005F0986">
            <w:pPr>
              <w:rPr>
                <w:rFonts w:ascii="Arial" w:hAnsi="Arial" w:cs="Arial"/>
                <w:sz w:val="24"/>
                <w:szCs w:val="24"/>
              </w:rPr>
            </w:pPr>
            <w:r>
              <w:rPr>
                <w:rFonts w:ascii="Arial" w:hAnsi="Arial" w:cs="Arial"/>
                <w:sz w:val="24"/>
                <w:szCs w:val="24"/>
              </w:rPr>
              <w:t>ATG – automatic tank gauge</w:t>
            </w:r>
          </w:p>
          <w:p w14:paraId="1DB0251F" w14:textId="5F8895A3" w:rsidR="00883E42" w:rsidRDefault="00883E42">
            <w:pPr>
              <w:rPr>
                <w:rFonts w:ascii="Arial" w:hAnsi="Arial" w:cs="Arial"/>
                <w:sz w:val="24"/>
                <w:szCs w:val="24"/>
              </w:rPr>
            </w:pPr>
            <w:r>
              <w:rPr>
                <w:rFonts w:ascii="Arial" w:hAnsi="Arial" w:cs="Arial"/>
                <w:sz w:val="24"/>
                <w:szCs w:val="24"/>
              </w:rPr>
              <w:t>CCR – California Code of Regulations</w:t>
            </w:r>
          </w:p>
          <w:p w14:paraId="1F9710B3" w14:textId="445AE324" w:rsidR="004B740F" w:rsidRDefault="004B740F">
            <w:pPr>
              <w:rPr>
                <w:rFonts w:ascii="Arial" w:hAnsi="Arial" w:cs="Arial"/>
                <w:sz w:val="24"/>
                <w:szCs w:val="24"/>
              </w:rPr>
            </w:pPr>
            <w:r>
              <w:rPr>
                <w:rFonts w:ascii="Arial" w:hAnsi="Arial" w:cs="Arial"/>
                <w:sz w:val="24"/>
                <w:szCs w:val="24"/>
              </w:rPr>
              <w:t>CFC – California Fire Code</w:t>
            </w:r>
          </w:p>
          <w:p w14:paraId="19D0F25D" w14:textId="02D8D014" w:rsidR="00D8366B" w:rsidRDefault="00D8366B">
            <w:pPr>
              <w:rPr>
                <w:rFonts w:ascii="Arial" w:hAnsi="Arial" w:cs="Arial"/>
                <w:sz w:val="24"/>
                <w:szCs w:val="24"/>
              </w:rPr>
            </w:pPr>
            <w:r>
              <w:rPr>
                <w:rFonts w:ascii="Arial" w:hAnsi="Arial" w:cs="Arial"/>
                <w:sz w:val="24"/>
                <w:szCs w:val="24"/>
              </w:rPr>
              <w:t>CFR – Code of Federal Regulations</w:t>
            </w:r>
          </w:p>
          <w:p w14:paraId="7E0AB467" w14:textId="73ED00F0" w:rsidR="00151FE7" w:rsidRDefault="00151FE7">
            <w:pPr>
              <w:rPr>
                <w:rFonts w:ascii="Arial" w:hAnsi="Arial" w:cs="Arial"/>
                <w:sz w:val="24"/>
                <w:szCs w:val="24"/>
              </w:rPr>
            </w:pPr>
            <w:r>
              <w:rPr>
                <w:rFonts w:ascii="Arial" w:hAnsi="Arial" w:cs="Arial"/>
                <w:sz w:val="24"/>
                <w:szCs w:val="24"/>
              </w:rPr>
              <w:t>CERS – California Environmental Reporting System</w:t>
            </w:r>
          </w:p>
          <w:p w14:paraId="022D7389" w14:textId="4975BE43" w:rsidR="00B763F9" w:rsidRDefault="00B763F9">
            <w:pPr>
              <w:rPr>
                <w:rFonts w:ascii="Arial" w:hAnsi="Arial" w:cs="Arial"/>
                <w:sz w:val="24"/>
                <w:szCs w:val="24"/>
              </w:rPr>
            </w:pPr>
            <w:r>
              <w:rPr>
                <w:rFonts w:ascii="Arial" w:hAnsi="Arial" w:cs="Arial"/>
                <w:sz w:val="24"/>
                <w:szCs w:val="24"/>
              </w:rPr>
              <w:t>CUPA – Certified Unified Program Agency</w:t>
            </w:r>
          </w:p>
          <w:p w14:paraId="497EB2C7" w14:textId="5E07F310" w:rsidR="00151FE7" w:rsidRDefault="00151FE7">
            <w:pPr>
              <w:rPr>
                <w:rFonts w:ascii="Arial" w:hAnsi="Arial" w:cs="Arial"/>
                <w:sz w:val="24"/>
                <w:szCs w:val="24"/>
              </w:rPr>
            </w:pPr>
            <w:r>
              <w:rPr>
                <w:rFonts w:ascii="Arial" w:hAnsi="Arial" w:cs="Arial"/>
                <w:sz w:val="24"/>
                <w:szCs w:val="24"/>
              </w:rPr>
              <w:t>HMBP – Hazardous Materials Business Plan</w:t>
            </w:r>
          </w:p>
          <w:p w14:paraId="3DE78223" w14:textId="05F3AFC0" w:rsidR="00D2374E" w:rsidRDefault="00AF6628">
            <w:pPr>
              <w:rPr>
                <w:rFonts w:ascii="Arial" w:hAnsi="Arial" w:cs="Arial"/>
                <w:sz w:val="24"/>
                <w:szCs w:val="24"/>
              </w:rPr>
            </w:pPr>
            <w:r>
              <w:rPr>
                <w:rFonts w:ascii="Arial" w:hAnsi="Arial" w:cs="Arial"/>
                <w:sz w:val="24"/>
                <w:szCs w:val="24"/>
              </w:rPr>
              <w:t>HSC – Health and Safety Code</w:t>
            </w:r>
          </w:p>
          <w:p w14:paraId="710A4DF2" w14:textId="508457A5" w:rsidR="00164B3E" w:rsidRDefault="00164B3E">
            <w:pPr>
              <w:rPr>
                <w:rFonts w:ascii="Arial" w:hAnsi="Arial" w:cs="Arial"/>
                <w:sz w:val="24"/>
                <w:szCs w:val="24"/>
              </w:rPr>
            </w:pPr>
            <w:r>
              <w:rPr>
                <w:rFonts w:ascii="Arial" w:hAnsi="Arial" w:cs="Arial"/>
                <w:sz w:val="24"/>
                <w:szCs w:val="24"/>
              </w:rPr>
              <w:t>NFPA – National Fire Protection Association</w:t>
            </w:r>
          </w:p>
          <w:p w14:paraId="0EDBFE37" w14:textId="0CE7CAC1" w:rsidR="003E4674" w:rsidRDefault="003E4674">
            <w:pPr>
              <w:rPr>
                <w:rFonts w:ascii="Arial" w:hAnsi="Arial" w:cs="Arial"/>
                <w:sz w:val="24"/>
                <w:szCs w:val="24"/>
              </w:rPr>
            </w:pPr>
            <w:r>
              <w:rPr>
                <w:rFonts w:ascii="Arial" w:hAnsi="Arial" w:cs="Arial"/>
                <w:sz w:val="24"/>
                <w:szCs w:val="24"/>
              </w:rPr>
              <w:t>OES – Office of Emergency Services</w:t>
            </w:r>
          </w:p>
          <w:p w14:paraId="4B11A238" w14:textId="64F2DFC9" w:rsidR="00FE33CD" w:rsidRDefault="00FE33CD">
            <w:pPr>
              <w:rPr>
                <w:rFonts w:ascii="Arial" w:hAnsi="Arial" w:cs="Arial"/>
                <w:sz w:val="24"/>
                <w:szCs w:val="24"/>
              </w:rPr>
            </w:pPr>
            <w:r>
              <w:rPr>
                <w:rFonts w:ascii="Arial" w:hAnsi="Arial" w:cs="Arial"/>
                <w:sz w:val="24"/>
                <w:szCs w:val="24"/>
              </w:rPr>
              <w:t>OSFM – Office of the State Fire Marshal</w:t>
            </w:r>
          </w:p>
          <w:p w14:paraId="6DCD853D" w14:textId="67FC3999" w:rsidR="001B32F6" w:rsidRDefault="001B32F6">
            <w:pPr>
              <w:rPr>
                <w:rFonts w:ascii="Arial" w:hAnsi="Arial" w:cs="Arial"/>
                <w:sz w:val="24"/>
                <w:szCs w:val="24"/>
              </w:rPr>
            </w:pPr>
            <w:r>
              <w:rPr>
                <w:rFonts w:ascii="Arial" w:hAnsi="Arial" w:cs="Arial"/>
                <w:sz w:val="24"/>
                <w:szCs w:val="24"/>
              </w:rPr>
              <w:t xml:space="preserve">PCB </w:t>
            </w:r>
            <w:r w:rsidR="00E241EE">
              <w:rPr>
                <w:rFonts w:ascii="Arial" w:hAnsi="Arial" w:cs="Arial"/>
                <w:sz w:val="24"/>
                <w:szCs w:val="24"/>
              </w:rPr>
              <w:t>–</w:t>
            </w:r>
            <w:r>
              <w:rPr>
                <w:rFonts w:ascii="Arial" w:hAnsi="Arial" w:cs="Arial"/>
                <w:sz w:val="24"/>
                <w:szCs w:val="24"/>
              </w:rPr>
              <w:t xml:space="preserve"> </w:t>
            </w:r>
            <w:r w:rsidR="00E241EE">
              <w:rPr>
                <w:rFonts w:ascii="Arial" w:hAnsi="Arial" w:cs="Arial"/>
                <w:sz w:val="24"/>
                <w:szCs w:val="24"/>
              </w:rPr>
              <w:t>p</w:t>
            </w:r>
            <w:r w:rsidR="00E241EE" w:rsidRPr="00E241EE">
              <w:rPr>
                <w:rFonts w:ascii="Arial" w:hAnsi="Arial" w:cs="Arial"/>
                <w:sz w:val="24"/>
                <w:szCs w:val="24"/>
              </w:rPr>
              <w:t>oly</w:t>
            </w:r>
            <w:r w:rsidR="00E241EE">
              <w:rPr>
                <w:rFonts w:ascii="Arial" w:hAnsi="Arial" w:cs="Arial"/>
                <w:sz w:val="24"/>
                <w:szCs w:val="24"/>
              </w:rPr>
              <w:t>c</w:t>
            </w:r>
            <w:r w:rsidR="00E241EE" w:rsidRPr="00E241EE">
              <w:rPr>
                <w:rFonts w:ascii="Arial" w:hAnsi="Arial" w:cs="Arial"/>
                <w:sz w:val="24"/>
                <w:szCs w:val="24"/>
              </w:rPr>
              <w:t xml:space="preserve">hlorinated </w:t>
            </w:r>
            <w:r w:rsidR="00E241EE">
              <w:rPr>
                <w:rFonts w:ascii="Arial" w:hAnsi="Arial" w:cs="Arial"/>
                <w:sz w:val="24"/>
                <w:szCs w:val="24"/>
              </w:rPr>
              <w:t>b</w:t>
            </w:r>
            <w:r w:rsidR="00E241EE" w:rsidRPr="00E241EE">
              <w:rPr>
                <w:rFonts w:ascii="Arial" w:hAnsi="Arial" w:cs="Arial"/>
                <w:sz w:val="24"/>
                <w:szCs w:val="24"/>
              </w:rPr>
              <w:t>iphenyl</w:t>
            </w:r>
          </w:p>
          <w:p w14:paraId="29B62E83" w14:textId="18412FD6" w:rsidR="00230B32" w:rsidRDefault="0074341D">
            <w:pPr>
              <w:rPr>
                <w:rFonts w:ascii="Arial" w:hAnsi="Arial" w:cs="Arial"/>
                <w:sz w:val="24"/>
                <w:szCs w:val="24"/>
              </w:rPr>
            </w:pPr>
            <w:r>
              <w:rPr>
                <w:rFonts w:ascii="Arial" w:hAnsi="Arial" w:cs="Arial"/>
                <w:sz w:val="24"/>
                <w:szCs w:val="24"/>
              </w:rPr>
              <w:t>psi</w:t>
            </w:r>
            <w:r w:rsidR="00230B32">
              <w:rPr>
                <w:rFonts w:ascii="Arial" w:hAnsi="Arial" w:cs="Arial"/>
                <w:sz w:val="24"/>
                <w:szCs w:val="24"/>
              </w:rPr>
              <w:t xml:space="preserve"> – pounds per square inch</w:t>
            </w:r>
          </w:p>
          <w:p w14:paraId="6C0226F3" w14:textId="5DB77B4C" w:rsidR="00883E42" w:rsidRDefault="00883E42">
            <w:pPr>
              <w:rPr>
                <w:rFonts w:ascii="Arial" w:hAnsi="Arial" w:cs="Arial"/>
                <w:sz w:val="24"/>
                <w:szCs w:val="24"/>
              </w:rPr>
            </w:pPr>
            <w:r>
              <w:rPr>
                <w:rFonts w:ascii="Arial" w:hAnsi="Arial" w:cs="Arial"/>
                <w:sz w:val="24"/>
                <w:szCs w:val="24"/>
              </w:rPr>
              <w:t>SPCC – Spill Prevention, Control, and Countermeasure</w:t>
            </w:r>
          </w:p>
          <w:p w14:paraId="0ABEDF86" w14:textId="587F4F2D" w:rsidR="00D8366B" w:rsidRDefault="00D8366B">
            <w:pPr>
              <w:rPr>
                <w:rFonts w:ascii="Arial" w:hAnsi="Arial" w:cs="Arial"/>
                <w:sz w:val="24"/>
                <w:szCs w:val="24"/>
              </w:rPr>
            </w:pPr>
            <w:r>
              <w:rPr>
                <w:rFonts w:ascii="Arial" w:hAnsi="Arial" w:cs="Arial"/>
                <w:sz w:val="24"/>
                <w:szCs w:val="24"/>
              </w:rPr>
              <w:t>TFS – tank facility statement</w:t>
            </w:r>
          </w:p>
          <w:p w14:paraId="5F344984" w14:textId="65F7ADC1" w:rsidR="00FE33CD" w:rsidRDefault="00FE33CD">
            <w:pPr>
              <w:rPr>
                <w:rFonts w:ascii="Arial" w:hAnsi="Arial" w:cs="Arial"/>
                <w:sz w:val="24"/>
                <w:szCs w:val="24"/>
              </w:rPr>
            </w:pPr>
            <w:r w:rsidRPr="00FE33CD">
              <w:rPr>
                <w:rFonts w:ascii="Arial" w:hAnsi="Arial" w:cs="Arial"/>
                <w:sz w:val="24"/>
                <w:szCs w:val="24"/>
              </w:rPr>
              <w:t>TIUGA – tank in an und</w:t>
            </w:r>
            <w:r w:rsidRPr="00E55F49">
              <w:rPr>
                <w:rFonts w:ascii="Arial" w:hAnsi="Arial" w:cs="Arial"/>
                <w:sz w:val="24"/>
                <w:szCs w:val="24"/>
              </w:rPr>
              <w:t>er</w:t>
            </w:r>
            <w:r>
              <w:rPr>
                <w:rFonts w:ascii="Arial" w:hAnsi="Arial" w:cs="Arial"/>
                <w:sz w:val="24"/>
                <w:szCs w:val="24"/>
              </w:rPr>
              <w:t>ground area</w:t>
            </w:r>
          </w:p>
          <w:p w14:paraId="52171007" w14:textId="2C733B53" w:rsidR="000F30CD" w:rsidRPr="00FE33CD" w:rsidRDefault="000F30CD">
            <w:pPr>
              <w:rPr>
                <w:rFonts w:ascii="Arial" w:hAnsi="Arial" w:cs="Arial"/>
                <w:sz w:val="24"/>
                <w:szCs w:val="24"/>
              </w:rPr>
            </w:pPr>
            <w:r>
              <w:rPr>
                <w:rFonts w:ascii="Arial" w:hAnsi="Arial" w:cs="Arial"/>
                <w:sz w:val="24"/>
                <w:szCs w:val="24"/>
              </w:rPr>
              <w:t>UPA – Unified Program Agency</w:t>
            </w:r>
          </w:p>
          <w:p w14:paraId="0FDBBBE8" w14:textId="47E12020" w:rsidR="00AF6628" w:rsidRDefault="00AF6628">
            <w:pPr>
              <w:rPr>
                <w:rFonts w:ascii="Arial" w:hAnsi="Arial" w:cs="Arial"/>
                <w:sz w:val="24"/>
                <w:szCs w:val="24"/>
              </w:rPr>
            </w:pPr>
            <w:r>
              <w:rPr>
                <w:rFonts w:ascii="Arial" w:hAnsi="Arial" w:cs="Arial"/>
                <w:sz w:val="24"/>
                <w:szCs w:val="24"/>
              </w:rPr>
              <w:t>UST – underground storage tank</w:t>
            </w:r>
          </w:p>
          <w:p w14:paraId="4536B0CC" w14:textId="552B78CF" w:rsidR="005F0986" w:rsidRDefault="005F0986">
            <w:pPr>
              <w:rPr>
                <w:rFonts w:ascii="Arial" w:hAnsi="Arial" w:cs="Arial"/>
                <w:sz w:val="24"/>
                <w:szCs w:val="24"/>
              </w:rPr>
            </w:pPr>
            <w:r>
              <w:rPr>
                <w:rFonts w:ascii="Arial" w:hAnsi="Arial" w:cs="Arial"/>
                <w:sz w:val="24"/>
                <w:szCs w:val="24"/>
              </w:rPr>
              <w:t>WAT – Water Code</w:t>
            </w:r>
          </w:p>
          <w:p w14:paraId="3BB720E5" w14:textId="096300F4" w:rsidR="00AF6628" w:rsidRPr="008F7557" w:rsidRDefault="00AF6628">
            <w:pPr>
              <w:rPr>
                <w:rFonts w:ascii="Arial" w:hAnsi="Arial" w:cs="Arial"/>
                <w:sz w:val="24"/>
                <w:szCs w:val="24"/>
              </w:rPr>
            </w:pPr>
          </w:p>
        </w:tc>
        <w:tc>
          <w:tcPr>
            <w:tcW w:w="5040" w:type="dxa"/>
          </w:tcPr>
          <w:p w14:paraId="7B75BA05" w14:textId="77777777" w:rsidR="008F7557" w:rsidRPr="008F7557" w:rsidRDefault="008F7557">
            <w:pPr>
              <w:rPr>
                <w:rFonts w:ascii="Arial" w:hAnsi="Arial" w:cs="Arial"/>
                <w:sz w:val="24"/>
                <w:szCs w:val="24"/>
              </w:rPr>
            </w:pPr>
          </w:p>
        </w:tc>
      </w:tr>
      <w:tr w:rsidR="00085543" w:rsidRPr="00AF5B10" w14:paraId="3626C886" w14:textId="77777777" w:rsidTr="00BA3921">
        <w:tc>
          <w:tcPr>
            <w:tcW w:w="2324" w:type="dxa"/>
          </w:tcPr>
          <w:p w14:paraId="181AFA95" w14:textId="547CED0C" w:rsidR="007416A8" w:rsidRPr="00E55F49" w:rsidRDefault="007416A8">
            <w:pPr>
              <w:rPr>
                <w:rFonts w:ascii="Arial" w:hAnsi="Arial" w:cs="Arial"/>
                <w:b/>
                <w:bCs/>
                <w:sz w:val="24"/>
                <w:szCs w:val="24"/>
              </w:rPr>
            </w:pPr>
            <w:r w:rsidRPr="00E55F49">
              <w:rPr>
                <w:rFonts w:ascii="Arial" w:hAnsi="Arial" w:cs="Arial"/>
                <w:b/>
                <w:bCs/>
                <w:sz w:val="24"/>
                <w:szCs w:val="24"/>
              </w:rPr>
              <w:t>Section</w:t>
            </w:r>
          </w:p>
        </w:tc>
        <w:tc>
          <w:tcPr>
            <w:tcW w:w="7126" w:type="dxa"/>
          </w:tcPr>
          <w:p w14:paraId="5E0BF3AE" w14:textId="0776564F" w:rsidR="007416A8" w:rsidRPr="00E55F49" w:rsidRDefault="00FE0B6D">
            <w:pPr>
              <w:rPr>
                <w:rFonts w:ascii="Arial" w:hAnsi="Arial" w:cs="Arial"/>
                <w:b/>
                <w:bCs/>
                <w:sz w:val="24"/>
                <w:szCs w:val="24"/>
              </w:rPr>
            </w:pPr>
            <w:r>
              <w:rPr>
                <w:rFonts w:ascii="Arial" w:hAnsi="Arial" w:cs="Arial"/>
                <w:b/>
                <w:bCs/>
                <w:sz w:val="24"/>
                <w:szCs w:val="24"/>
              </w:rPr>
              <w:t>Suggested</w:t>
            </w:r>
            <w:r w:rsidRPr="00E55F49">
              <w:rPr>
                <w:rFonts w:ascii="Arial" w:hAnsi="Arial" w:cs="Arial"/>
                <w:b/>
                <w:bCs/>
                <w:sz w:val="24"/>
                <w:szCs w:val="24"/>
              </w:rPr>
              <w:t xml:space="preserve"> </w:t>
            </w:r>
            <w:r w:rsidR="002E522C" w:rsidRPr="00E55F49">
              <w:rPr>
                <w:rFonts w:ascii="Arial" w:hAnsi="Arial" w:cs="Arial"/>
                <w:b/>
                <w:bCs/>
                <w:sz w:val="24"/>
                <w:szCs w:val="24"/>
              </w:rPr>
              <w:t>Amendment</w:t>
            </w:r>
          </w:p>
        </w:tc>
        <w:tc>
          <w:tcPr>
            <w:tcW w:w="5040" w:type="dxa"/>
          </w:tcPr>
          <w:p w14:paraId="0B9033FB" w14:textId="3C7A1E22" w:rsidR="007416A8" w:rsidRPr="00E55F49" w:rsidRDefault="007416A8">
            <w:pPr>
              <w:rPr>
                <w:rFonts w:ascii="Arial" w:hAnsi="Arial" w:cs="Arial"/>
                <w:b/>
                <w:bCs/>
                <w:sz w:val="24"/>
                <w:szCs w:val="24"/>
              </w:rPr>
            </w:pPr>
            <w:r w:rsidRPr="00E55F49">
              <w:rPr>
                <w:rFonts w:ascii="Arial" w:hAnsi="Arial" w:cs="Arial"/>
                <w:b/>
                <w:bCs/>
                <w:sz w:val="24"/>
                <w:szCs w:val="24"/>
              </w:rPr>
              <w:t>Why</w:t>
            </w:r>
            <w:r w:rsidR="00C15B9A">
              <w:rPr>
                <w:rFonts w:ascii="Arial" w:hAnsi="Arial" w:cs="Arial"/>
                <w:b/>
                <w:bCs/>
                <w:sz w:val="24"/>
                <w:szCs w:val="24"/>
              </w:rPr>
              <w:t xml:space="preserve"> and Comments</w:t>
            </w:r>
          </w:p>
        </w:tc>
      </w:tr>
      <w:tr w:rsidR="00085543" w:rsidRPr="000A5FA5" w14:paraId="580C4C72" w14:textId="77777777" w:rsidTr="00BA3921">
        <w:tc>
          <w:tcPr>
            <w:tcW w:w="2324" w:type="dxa"/>
          </w:tcPr>
          <w:p w14:paraId="5E167539" w14:textId="25200EE9" w:rsidR="004D67E3" w:rsidRPr="00E55F49" w:rsidRDefault="004D67E3">
            <w:pPr>
              <w:rPr>
                <w:rFonts w:ascii="Arial" w:hAnsi="Arial" w:cs="Arial"/>
                <w:sz w:val="24"/>
                <w:szCs w:val="24"/>
              </w:rPr>
            </w:pPr>
            <w:r w:rsidRPr="00E55F49">
              <w:rPr>
                <w:rFonts w:ascii="Arial" w:hAnsi="Arial" w:cs="Arial"/>
                <w:sz w:val="24"/>
                <w:szCs w:val="24"/>
              </w:rPr>
              <w:t>General</w:t>
            </w:r>
          </w:p>
        </w:tc>
        <w:tc>
          <w:tcPr>
            <w:tcW w:w="7126" w:type="dxa"/>
          </w:tcPr>
          <w:p w14:paraId="707A6DA4" w14:textId="77777777" w:rsidR="004D67E3" w:rsidRPr="00E55F49" w:rsidRDefault="004D67E3">
            <w:pPr>
              <w:rPr>
                <w:rFonts w:ascii="Arial" w:hAnsi="Arial" w:cs="Arial"/>
                <w:sz w:val="24"/>
                <w:szCs w:val="24"/>
              </w:rPr>
            </w:pPr>
            <w:r w:rsidRPr="00E55F49">
              <w:rPr>
                <w:rFonts w:ascii="Arial" w:hAnsi="Arial" w:cs="Arial"/>
                <w:sz w:val="24"/>
                <w:szCs w:val="24"/>
              </w:rPr>
              <w:t>Consider adding “tank” before “facility” throughout as applicable.</w:t>
            </w:r>
          </w:p>
          <w:p w14:paraId="0F59EBF2" w14:textId="77777777" w:rsidR="004D67E3" w:rsidRPr="00E55F49" w:rsidRDefault="004D67E3">
            <w:pPr>
              <w:rPr>
                <w:rFonts w:ascii="Arial" w:hAnsi="Arial" w:cs="Arial"/>
                <w:sz w:val="24"/>
                <w:szCs w:val="24"/>
              </w:rPr>
            </w:pPr>
            <w:r w:rsidRPr="00E55F49">
              <w:rPr>
                <w:rFonts w:ascii="Arial" w:hAnsi="Arial" w:cs="Arial"/>
                <w:sz w:val="24"/>
                <w:szCs w:val="24"/>
              </w:rPr>
              <w:t>Consider adding in “petroleum” to clarify storage</w:t>
            </w:r>
            <w:r w:rsidR="004B1852" w:rsidRPr="00E55F49">
              <w:rPr>
                <w:rFonts w:ascii="Arial" w:hAnsi="Arial" w:cs="Arial"/>
                <w:sz w:val="24"/>
                <w:szCs w:val="24"/>
              </w:rPr>
              <w:t>.</w:t>
            </w:r>
          </w:p>
          <w:p w14:paraId="1E9BFC67" w14:textId="27242330" w:rsidR="004B1852" w:rsidRPr="00E55F49" w:rsidRDefault="004B1852">
            <w:pPr>
              <w:rPr>
                <w:rFonts w:ascii="Arial" w:hAnsi="Arial" w:cs="Arial"/>
                <w:sz w:val="24"/>
                <w:szCs w:val="24"/>
              </w:rPr>
            </w:pPr>
            <w:r w:rsidRPr="00E55F49">
              <w:rPr>
                <w:rFonts w:ascii="Arial" w:hAnsi="Arial" w:cs="Arial"/>
                <w:sz w:val="24"/>
                <w:szCs w:val="24"/>
              </w:rPr>
              <w:t>For an example, see proposed changes for 25270.6(a)(1)</w:t>
            </w:r>
          </w:p>
        </w:tc>
        <w:tc>
          <w:tcPr>
            <w:tcW w:w="5040" w:type="dxa"/>
          </w:tcPr>
          <w:p w14:paraId="4C333201" w14:textId="767DFCBB" w:rsidR="004D67E3" w:rsidRPr="00E55F49" w:rsidRDefault="46E39E51"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Consistent use of definitions through HSC 6.67</w:t>
            </w:r>
          </w:p>
          <w:p w14:paraId="612EB616" w14:textId="492408E6" w:rsidR="004D67E3" w:rsidRPr="00E55F49" w:rsidRDefault="63102F07"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Andy</w:t>
            </w:r>
            <w:r w:rsidR="006C2E69">
              <w:rPr>
                <w:rFonts w:ascii="Arial" w:hAnsi="Arial" w:cs="Arial"/>
                <w:sz w:val="24"/>
                <w:szCs w:val="24"/>
              </w:rPr>
              <w:t xml:space="preserve"> Dye</w:t>
            </w:r>
            <w:r w:rsidRPr="00E55F49">
              <w:rPr>
                <w:rFonts w:ascii="Arial" w:hAnsi="Arial" w:cs="Arial"/>
                <w:sz w:val="24"/>
                <w:szCs w:val="24"/>
              </w:rPr>
              <w:t>: 25270.2(a) defines ‘aboveground storage tank’ or ‘storage tank’. I</w:t>
            </w:r>
            <w:r w:rsidR="4EE0DA78" w:rsidRPr="00E55F49">
              <w:rPr>
                <w:rFonts w:ascii="Arial" w:hAnsi="Arial" w:cs="Arial"/>
                <w:sz w:val="24"/>
                <w:szCs w:val="24"/>
              </w:rPr>
              <w:t>f we want to make a change, I</w:t>
            </w:r>
            <w:r w:rsidRPr="00E55F49">
              <w:rPr>
                <w:rFonts w:ascii="Arial" w:hAnsi="Arial" w:cs="Arial"/>
                <w:sz w:val="24"/>
                <w:szCs w:val="24"/>
              </w:rPr>
              <w:t xml:space="preserve"> think it would be better if we </w:t>
            </w:r>
            <w:r w:rsidR="24E290CA" w:rsidRPr="00E55F49">
              <w:rPr>
                <w:rFonts w:ascii="Arial" w:hAnsi="Arial" w:cs="Arial"/>
                <w:sz w:val="24"/>
                <w:szCs w:val="24"/>
              </w:rPr>
              <w:t xml:space="preserve">changed tank to </w:t>
            </w:r>
            <w:r w:rsidR="24E290CA" w:rsidRPr="00E55F49">
              <w:rPr>
                <w:rFonts w:ascii="Arial" w:hAnsi="Arial" w:cs="Arial"/>
                <w:b/>
                <w:bCs/>
                <w:sz w:val="24"/>
                <w:szCs w:val="24"/>
              </w:rPr>
              <w:t>storage tank</w:t>
            </w:r>
            <w:r w:rsidR="24E290CA" w:rsidRPr="00E55F49">
              <w:rPr>
                <w:rFonts w:ascii="Arial" w:hAnsi="Arial" w:cs="Arial"/>
                <w:sz w:val="24"/>
                <w:szCs w:val="24"/>
              </w:rPr>
              <w:t xml:space="preserve"> or </w:t>
            </w:r>
            <w:r w:rsidR="24E290CA" w:rsidRPr="00E55F49">
              <w:rPr>
                <w:rFonts w:ascii="Arial" w:hAnsi="Arial" w:cs="Arial"/>
                <w:b/>
                <w:bCs/>
                <w:sz w:val="24"/>
                <w:szCs w:val="24"/>
              </w:rPr>
              <w:t>aboveground storage tank</w:t>
            </w:r>
            <w:r w:rsidR="24E290CA" w:rsidRPr="00E55F49">
              <w:rPr>
                <w:rFonts w:ascii="Arial" w:hAnsi="Arial" w:cs="Arial"/>
                <w:sz w:val="24"/>
                <w:szCs w:val="24"/>
              </w:rPr>
              <w:t xml:space="preserve"> instead of adding petroleum to it, since the definition of the term includes the </w:t>
            </w:r>
            <w:r w:rsidR="1FAEE0D8" w:rsidRPr="00E55F49">
              <w:rPr>
                <w:rFonts w:ascii="Arial" w:hAnsi="Arial" w:cs="Arial"/>
                <w:sz w:val="24"/>
                <w:szCs w:val="24"/>
              </w:rPr>
              <w:t>petroleum.</w:t>
            </w:r>
          </w:p>
        </w:tc>
      </w:tr>
      <w:tr w:rsidR="00085543" w:rsidRPr="000A5FA5" w14:paraId="5D856E22" w14:textId="77777777" w:rsidTr="00BA3921">
        <w:tc>
          <w:tcPr>
            <w:tcW w:w="2324" w:type="dxa"/>
          </w:tcPr>
          <w:p w14:paraId="08E79A32" w14:textId="08F178FC" w:rsidR="007416A8" w:rsidRPr="00E55F49" w:rsidRDefault="007416A8">
            <w:pPr>
              <w:rPr>
                <w:rFonts w:ascii="Arial" w:hAnsi="Arial" w:cs="Arial"/>
                <w:sz w:val="24"/>
                <w:szCs w:val="24"/>
              </w:rPr>
            </w:pPr>
            <w:r w:rsidRPr="00E55F49">
              <w:rPr>
                <w:rFonts w:ascii="Arial" w:hAnsi="Arial" w:cs="Arial"/>
                <w:sz w:val="24"/>
                <w:szCs w:val="24"/>
              </w:rPr>
              <w:lastRenderedPageBreak/>
              <w:t>25270.2(a)</w:t>
            </w:r>
          </w:p>
        </w:tc>
        <w:tc>
          <w:tcPr>
            <w:tcW w:w="7126" w:type="dxa"/>
          </w:tcPr>
          <w:p w14:paraId="309FD854" w14:textId="77777777" w:rsidR="00EF46B4" w:rsidRDefault="00EF46B4" w:rsidP="00EF46B4">
            <w:pPr>
              <w:rPr>
                <w:rFonts w:ascii="Arial" w:hAnsi="Arial" w:cs="Arial"/>
                <w:sz w:val="24"/>
                <w:szCs w:val="24"/>
              </w:rPr>
            </w:pPr>
            <w:r w:rsidRPr="0004730B">
              <w:rPr>
                <w:rFonts w:ascii="Arial" w:hAnsi="Arial" w:cs="Arial"/>
                <w:sz w:val="24"/>
                <w:szCs w:val="24"/>
              </w:rPr>
              <w:t>“Aboveground storage tank” or “storage tank” means a tank</w:t>
            </w:r>
            <w:r w:rsidRPr="00E55F49">
              <w:rPr>
                <w:rFonts w:ascii="Arial" w:hAnsi="Arial" w:cs="Arial"/>
                <w:color w:val="ED0000"/>
                <w:sz w:val="24"/>
                <w:szCs w:val="24"/>
                <w:u w:val="single"/>
              </w:rPr>
              <w:t>,</w:t>
            </w:r>
            <w:r w:rsidRPr="00E55F49">
              <w:rPr>
                <w:rFonts w:ascii="Arial" w:hAnsi="Arial" w:cs="Arial"/>
                <w:color w:val="ED0000"/>
                <w:sz w:val="24"/>
                <w:szCs w:val="24"/>
              </w:rPr>
              <w:t xml:space="preserve"> </w:t>
            </w:r>
            <w:r w:rsidRPr="00E55F49">
              <w:rPr>
                <w:rFonts w:ascii="Arial" w:hAnsi="Arial" w:cs="Arial"/>
                <w:strike/>
                <w:color w:val="ED0000"/>
                <w:sz w:val="24"/>
                <w:szCs w:val="24"/>
              </w:rPr>
              <w:t>or</w:t>
            </w:r>
            <w:r w:rsidRPr="00E55F49">
              <w:rPr>
                <w:rFonts w:ascii="Arial" w:hAnsi="Arial" w:cs="Arial"/>
                <w:color w:val="ED0000"/>
                <w:sz w:val="24"/>
                <w:szCs w:val="24"/>
              </w:rPr>
              <w:t xml:space="preserve"> </w:t>
            </w:r>
            <w:r w:rsidRPr="0004730B">
              <w:rPr>
                <w:rFonts w:ascii="Arial" w:hAnsi="Arial" w:cs="Arial"/>
                <w:sz w:val="24"/>
                <w:szCs w:val="24"/>
              </w:rPr>
              <w:t>container</w:t>
            </w:r>
            <w:r w:rsidRPr="00E55F49">
              <w:rPr>
                <w:rFonts w:ascii="Arial" w:hAnsi="Arial" w:cs="Arial"/>
                <w:color w:val="ED0000"/>
                <w:sz w:val="24"/>
                <w:szCs w:val="24"/>
                <w:u w:val="single"/>
              </w:rPr>
              <w:t>, or oil-filled equipment</w:t>
            </w:r>
            <w:r w:rsidRPr="0004730B">
              <w:rPr>
                <w:rFonts w:ascii="Arial" w:hAnsi="Arial" w:cs="Arial"/>
                <w:sz w:val="24"/>
                <w:szCs w:val="24"/>
              </w:rPr>
              <w:t xml:space="preserve"> that has the capacity to store 55 gallons or more of petroleum that is substantially or totally above the surface of the ground, except that, for purposes of this chapter, “aboveground storage tank” or “storage tank” includes a tank in an underground area. “Aboveground storage tank” does not include any of the following:</w:t>
            </w:r>
          </w:p>
          <w:p w14:paraId="7F3AE6ED" w14:textId="77777777" w:rsidR="00EF46B4" w:rsidRDefault="00EF46B4" w:rsidP="00EF46B4">
            <w:pPr>
              <w:rPr>
                <w:rFonts w:ascii="Arial" w:hAnsi="Arial" w:cs="Arial"/>
                <w:sz w:val="24"/>
                <w:szCs w:val="24"/>
              </w:rPr>
            </w:pPr>
          </w:p>
          <w:p w14:paraId="11BA1F31" w14:textId="77777777" w:rsidR="00EF46B4" w:rsidRDefault="00EF46B4" w:rsidP="00EF46B4">
            <w:pPr>
              <w:rPr>
                <w:rFonts w:ascii="Arial" w:hAnsi="Arial" w:cs="Arial"/>
                <w:sz w:val="24"/>
                <w:szCs w:val="24"/>
              </w:rPr>
            </w:pPr>
            <w:r>
              <w:rPr>
                <w:rFonts w:ascii="Arial" w:hAnsi="Arial" w:cs="Arial"/>
                <w:sz w:val="24"/>
                <w:szCs w:val="24"/>
              </w:rPr>
              <w:t xml:space="preserve">or </w:t>
            </w:r>
          </w:p>
          <w:p w14:paraId="2C4B4F7A" w14:textId="77777777" w:rsidR="00EF46B4" w:rsidRDefault="00EF46B4" w:rsidP="00EF46B4">
            <w:pPr>
              <w:rPr>
                <w:rFonts w:ascii="Arial" w:hAnsi="Arial" w:cs="Arial"/>
                <w:sz w:val="24"/>
                <w:szCs w:val="24"/>
              </w:rPr>
            </w:pPr>
          </w:p>
          <w:p w14:paraId="6034C965" w14:textId="77777777" w:rsidR="00EF46B4" w:rsidRDefault="00EF46B4" w:rsidP="00EF46B4">
            <w:pPr>
              <w:rPr>
                <w:rFonts w:ascii="Arial" w:hAnsi="Arial" w:cs="Arial"/>
                <w:sz w:val="24"/>
                <w:szCs w:val="24"/>
              </w:rPr>
            </w:pPr>
            <w:r w:rsidRPr="0004730B">
              <w:rPr>
                <w:rFonts w:ascii="Arial" w:hAnsi="Arial" w:cs="Arial"/>
                <w:sz w:val="24"/>
                <w:szCs w:val="24"/>
              </w:rPr>
              <w:t>“Aboveground storage tank” or “storage tank” means a tank</w:t>
            </w:r>
            <w:r w:rsidRPr="00E55F49">
              <w:rPr>
                <w:rFonts w:ascii="Arial" w:hAnsi="Arial" w:cs="Arial"/>
                <w:color w:val="ED0000"/>
                <w:sz w:val="24"/>
                <w:szCs w:val="24"/>
                <w:u w:val="single"/>
              </w:rPr>
              <w:t>,</w:t>
            </w:r>
            <w:r w:rsidRPr="00E55F49">
              <w:rPr>
                <w:rFonts w:ascii="Arial" w:hAnsi="Arial" w:cs="Arial"/>
                <w:color w:val="ED0000"/>
                <w:sz w:val="24"/>
                <w:szCs w:val="24"/>
              </w:rPr>
              <w:t xml:space="preserve"> </w:t>
            </w:r>
            <w:r w:rsidRPr="00E55F49">
              <w:rPr>
                <w:rFonts w:ascii="Arial" w:hAnsi="Arial" w:cs="Arial"/>
                <w:strike/>
                <w:color w:val="ED0000"/>
                <w:sz w:val="24"/>
                <w:szCs w:val="24"/>
              </w:rPr>
              <w:t>or</w:t>
            </w:r>
            <w:r w:rsidRPr="00E55F49">
              <w:rPr>
                <w:rFonts w:ascii="Arial" w:hAnsi="Arial" w:cs="Arial"/>
                <w:color w:val="ED0000"/>
                <w:sz w:val="24"/>
                <w:szCs w:val="24"/>
              </w:rPr>
              <w:t xml:space="preserve"> </w:t>
            </w:r>
            <w:r w:rsidRPr="0004730B">
              <w:rPr>
                <w:rFonts w:ascii="Arial" w:hAnsi="Arial" w:cs="Arial"/>
                <w:sz w:val="24"/>
                <w:szCs w:val="24"/>
              </w:rPr>
              <w:t>container</w:t>
            </w:r>
            <w:r w:rsidRPr="00E55F49">
              <w:rPr>
                <w:rFonts w:ascii="Arial" w:hAnsi="Arial" w:cs="Arial"/>
                <w:color w:val="ED0000"/>
                <w:sz w:val="24"/>
                <w:szCs w:val="24"/>
                <w:u w:val="single"/>
              </w:rPr>
              <w:t>, or equipment</w:t>
            </w:r>
            <w:r w:rsidRPr="0004730B">
              <w:rPr>
                <w:rFonts w:ascii="Arial" w:hAnsi="Arial" w:cs="Arial"/>
                <w:sz w:val="24"/>
                <w:szCs w:val="24"/>
              </w:rPr>
              <w:t xml:space="preserve"> that has the capacity to store 55 gallons or more of petroleum that is substantially or totally above the surface of the ground, except that, for purposes of this chapter, “aboveground storage tank” or “storage tank” includes a tank in an underground area. “Aboveground storage tank” does not include any of the following:</w:t>
            </w:r>
          </w:p>
          <w:p w14:paraId="381317A7" w14:textId="12CEBCC6" w:rsidR="007416A8" w:rsidRPr="00E55F49" w:rsidRDefault="007416A8">
            <w:pPr>
              <w:rPr>
                <w:rFonts w:ascii="Arial" w:hAnsi="Arial" w:cs="Arial"/>
                <w:sz w:val="24"/>
                <w:szCs w:val="24"/>
              </w:rPr>
            </w:pPr>
          </w:p>
        </w:tc>
        <w:tc>
          <w:tcPr>
            <w:tcW w:w="5040" w:type="dxa"/>
          </w:tcPr>
          <w:p w14:paraId="667E641A" w14:textId="77777777" w:rsidR="007416A8" w:rsidRPr="00E55F49" w:rsidRDefault="007416A8"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Based on the current definition, we do not need to include 25270.2(a)(4) because oil filled equipment is not the definition.</w:t>
            </w:r>
          </w:p>
          <w:p w14:paraId="303C43EC" w14:textId="77777777" w:rsidR="007416A8" w:rsidRPr="00E55F49" w:rsidRDefault="007416A8"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A facility with only turbines, for example, would not be in APSA because they do not have an </w:t>
            </w:r>
            <w:proofErr w:type="gramStart"/>
            <w:r w:rsidRPr="00E55F49">
              <w:rPr>
                <w:rFonts w:ascii="Arial" w:hAnsi="Arial" w:cs="Arial"/>
                <w:sz w:val="24"/>
                <w:szCs w:val="24"/>
              </w:rPr>
              <w:t>aboveground</w:t>
            </w:r>
            <w:proofErr w:type="gramEnd"/>
            <w:r w:rsidRPr="00E55F49">
              <w:rPr>
                <w:rFonts w:ascii="Arial" w:hAnsi="Arial" w:cs="Arial"/>
                <w:sz w:val="24"/>
                <w:szCs w:val="24"/>
              </w:rPr>
              <w:t xml:space="preserve"> tank.</w:t>
            </w:r>
          </w:p>
          <w:p w14:paraId="3D21BF37" w14:textId="7E907929" w:rsidR="003E6A3C" w:rsidRPr="00E55F49" w:rsidRDefault="4412787E"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This will result in “Tank Facility” including oil-filled equipment</w:t>
            </w:r>
          </w:p>
          <w:p w14:paraId="423BA890" w14:textId="2CF451D7" w:rsidR="003E6A3C" w:rsidRPr="000A362E" w:rsidRDefault="5F65E09F"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An alternative is to use </w:t>
            </w:r>
            <w:r w:rsidR="000655A5">
              <w:rPr>
                <w:rFonts w:ascii="Arial" w:hAnsi="Arial" w:cs="Arial"/>
                <w:sz w:val="24"/>
                <w:szCs w:val="24"/>
              </w:rPr>
              <w:t xml:space="preserve">a more general term </w:t>
            </w:r>
            <w:r w:rsidRPr="00E55F49">
              <w:rPr>
                <w:rFonts w:ascii="Arial" w:hAnsi="Arial" w:cs="Arial"/>
                <w:sz w:val="24"/>
                <w:szCs w:val="24"/>
              </w:rPr>
              <w:t xml:space="preserve">‘equipment’ rather than </w:t>
            </w:r>
            <w:r w:rsidR="2684D878" w:rsidRPr="00E55F49">
              <w:rPr>
                <w:rFonts w:ascii="Arial" w:hAnsi="Arial" w:cs="Arial"/>
                <w:sz w:val="24"/>
                <w:szCs w:val="24"/>
              </w:rPr>
              <w:t>‘</w:t>
            </w:r>
            <w:r w:rsidRPr="00E55F49">
              <w:rPr>
                <w:rFonts w:ascii="Arial" w:hAnsi="Arial" w:cs="Arial"/>
                <w:sz w:val="24"/>
                <w:szCs w:val="24"/>
              </w:rPr>
              <w:t>oil-filled equipment</w:t>
            </w:r>
            <w:r w:rsidR="7BF51B9A" w:rsidRPr="00E55F49">
              <w:rPr>
                <w:rFonts w:ascii="Arial" w:hAnsi="Arial" w:cs="Arial"/>
                <w:sz w:val="24"/>
                <w:szCs w:val="24"/>
              </w:rPr>
              <w:t>’</w:t>
            </w:r>
            <w:r w:rsidR="000655A5">
              <w:rPr>
                <w:rFonts w:ascii="Arial" w:hAnsi="Arial" w:cs="Arial"/>
                <w:sz w:val="24"/>
                <w:szCs w:val="24"/>
              </w:rPr>
              <w:t xml:space="preserve"> since </w:t>
            </w:r>
            <w:r w:rsidR="000655A5" w:rsidRPr="000A362E">
              <w:rPr>
                <w:rFonts w:ascii="Arial" w:hAnsi="Arial" w:cs="Arial"/>
                <w:sz w:val="24"/>
                <w:szCs w:val="24"/>
              </w:rPr>
              <w:t>we</w:t>
            </w:r>
            <w:r w:rsidR="000655A5" w:rsidRPr="000A362E">
              <w:rPr>
                <w:rFonts w:ascii="Arial" w:eastAsia="Aptos" w:hAnsi="Arial" w:cs="Arial"/>
                <w:sz w:val="24"/>
                <w:szCs w:val="24"/>
              </w:rPr>
              <w:t xml:space="preserve"> are also </w:t>
            </w:r>
            <w:r w:rsidR="000A362E" w:rsidRPr="000A362E">
              <w:rPr>
                <w:rFonts w:ascii="Arial" w:eastAsia="Aptos" w:hAnsi="Arial" w:cs="Arial"/>
                <w:sz w:val="24"/>
                <w:szCs w:val="24"/>
              </w:rPr>
              <w:t>suggesting</w:t>
            </w:r>
            <w:r w:rsidR="000655A5" w:rsidRPr="000A362E">
              <w:rPr>
                <w:rFonts w:ascii="Arial" w:eastAsia="Aptos" w:hAnsi="Arial" w:cs="Arial"/>
                <w:sz w:val="24"/>
                <w:szCs w:val="24"/>
              </w:rPr>
              <w:t xml:space="preserve"> </w:t>
            </w:r>
            <w:r w:rsidR="000A362E" w:rsidRPr="000A362E">
              <w:rPr>
                <w:rFonts w:ascii="Arial" w:eastAsia="Aptos" w:hAnsi="Arial" w:cs="Arial"/>
                <w:sz w:val="24"/>
                <w:szCs w:val="24"/>
              </w:rPr>
              <w:t xml:space="preserve">excluding </w:t>
            </w:r>
            <w:r w:rsidR="000655A5" w:rsidRPr="000A362E">
              <w:rPr>
                <w:rFonts w:ascii="Arial" w:eastAsia="Aptos" w:hAnsi="Arial" w:cs="Arial"/>
                <w:sz w:val="24"/>
                <w:szCs w:val="24"/>
              </w:rPr>
              <w:t>pesticide application equipment</w:t>
            </w:r>
            <w:r w:rsidR="000A362E" w:rsidRPr="000A362E">
              <w:rPr>
                <w:rFonts w:ascii="Arial" w:eastAsia="Aptos" w:hAnsi="Arial" w:cs="Arial"/>
                <w:sz w:val="24"/>
                <w:szCs w:val="24"/>
              </w:rPr>
              <w:t xml:space="preserve"> from the definition of AST</w:t>
            </w:r>
            <w:r w:rsidRPr="000A362E">
              <w:rPr>
                <w:rFonts w:ascii="Arial" w:hAnsi="Arial" w:cs="Arial"/>
                <w:sz w:val="24"/>
                <w:szCs w:val="24"/>
              </w:rPr>
              <w:t>.</w:t>
            </w:r>
          </w:p>
          <w:p w14:paraId="4F7F30F1" w14:textId="06827F73" w:rsidR="003E6A3C" w:rsidRPr="00E55F49" w:rsidRDefault="003E6A3C" w:rsidP="13ECA5D9">
            <w:pPr>
              <w:pStyle w:val="ListParagraph"/>
              <w:ind w:left="0"/>
              <w:rPr>
                <w:rFonts w:ascii="Arial" w:hAnsi="Arial" w:cs="Arial"/>
                <w:sz w:val="24"/>
                <w:szCs w:val="24"/>
              </w:rPr>
            </w:pPr>
          </w:p>
        </w:tc>
      </w:tr>
      <w:tr w:rsidR="000A52B7" w:rsidRPr="00107033" w14:paraId="52D64262" w14:textId="77777777" w:rsidTr="00BA3921">
        <w:tc>
          <w:tcPr>
            <w:tcW w:w="2324" w:type="dxa"/>
          </w:tcPr>
          <w:p w14:paraId="1E36ECCC" w14:textId="77777777" w:rsidR="0041486C" w:rsidRPr="00107033" w:rsidRDefault="0041486C" w:rsidP="00277BB8">
            <w:pPr>
              <w:rPr>
                <w:rFonts w:ascii="Arial" w:hAnsi="Arial" w:cs="Arial"/>
                <w:sz w:val="24"/>
                <w:szCs w:val="24"/>
              </w:rPr>
            </w:pPr>
            <w:r>
              <w:rPr>
                <w:rFonts w:ascii="Arial" w:hAnsi="Arial" w:cs="Arial"/>
                <w:sz w:val="24"/>
                <w:szCs w:val="24"/>
              </w:rPr>
              <w:t>25270.2(a)(4)</w:t>
            </w:r>
          </w:p>
        </w:tc>
        <w:tc>
          <w:tcPr>
            <w:tcW w:w="7126" w:type="dxa"/>
          </w:tcPr>
          <w:p w14:paraId="3C2722DB" w14:textId="0719B5A8" w:rsidR="0041486C" w:rsidRPr="00861728" w:rsidRDefault="0041486C" w:rsidP="00277BB8">
            <w:pPr>
              <w:rPr>
                <w:rFonts w:ascii="Arial" w:hAnsi="Arial" w:cs="Arial"/>
                <w:sz w:val="24"/>
                <w:szCs w:val="24"/>
              </w:rPr>
            </w:pPr>
            <w:r w:rsidRPr="00861728">
              <w:rPr>
                <w:rFonts w:ascii="Arial" w:hAnsi="Arial" w:cs="Arial"/>
                <w:sz w:val="24"/>
                <w:szCs w:val="24"/>
              </w:rPr>
              <w:t xml:space="preserve">Oil-filled electrical equipment, including, but not limited to, transformers, circuit breakers, or capacitors, if the </w:t>
            </w:r>
            <w:r w:rsidR="00B66BB9" w:rsidRPr="00E55F49">
              <w:rPr>
                <w:rFonts w:ascii="Arial" w:hAnsi="Arial" w:cs="Arial"/>
                <w:color w:val="ED0000"/>
                <w:sz w:val="24"/>
                <w:szCs w:val="24"/>
                <w:u w:val="single"/>
              </w:rPr>
              <w:t xml:space="preserve">single piece of </w:t>
            </w:r>
            <w:r w:rsidRPr="00861728">
              <w:rPr>
                <w:rFonts w:ascii="Arial" w:hAnsi="Arial" w:cs="Arial"/>
                <w:sz w:val="24"/>
                <w:szCs w:val="24"/>
              </w:rPr>
              <w:t>oil-filled electrical equipment meets either of the following conditions:</w:t>
            </w:r>
          </w:p>
          <w:p w14:paraId="4470EFBE" w14:textId="553C5870" w:rsidR="0041486C" w:rsidRPr="00861728" w:rsidRDefault="0041486C" w:rsidP="00277BB8">
            <w:pPr>
              <w:rPr>
                <w:rFonts w:ascii="Arial" w:hAnsi="Arial" w:cs="Arial"/>
                <w:sz w:val="24"/>
                <w:szCs w:val="24"/>
              </w:rPr>
            </w:pPr>
            <w:r w:rsidRPr="00861728">
              <w:rPr>
                <w:rFonts w:ascii="Arial" w:hAnsi="Arial" w:cs="Arial"/>
                <w:sz w:val="24"/>
                <w:szCs w:val="24"/>
              </w:rPr>
              <w:t>(A) The equipment contains less than 10,000 gallons of dielectric fluid.</w:t>
            </w:r>
          </w:p>
          <w:p w14:paraId="3BAA311A" w14:textId="3A2EEE9D" w:rsidR="0041486C" w:rsidRPr="00861728" w:rsidRDefault="0041486C" w:rsidP="00277BB8">
            <w:pPr>
              <w:rPr>
                <w:rFonts w:ascii="Arial" w:hAnsi="Arial" w:cs="Arial"/>
                <w:sz w:val="24"/>
                <w:szCs w:val="24"/>
              </w:rPr>
            </w:pPr>
            <w:r w:rsidRPr="00861728">
              <w:rPr>
                <w:rFonts w:ascii="Arial" w:hAnsi="Arial" w:cs="Arial"/>
                <w:sz w:val="24"/>
                <w:szCs w:val="24"/>
              </w:rPr>
              <w:t>(B) The equipment contains 10,000 gallons or more of dielectric fluid with PCB levels less than 50 parts per million, appropriate containment or diversionary structures or equipment are employed to prevent discharged oil from reaching a navigable water course, and the electrical equipment is visually inspected in accordance with the usual routine maintenance procedures of the owner or operator.</w:t>
            </w:r>
          </w:p>
          <w:p w14:paraId="0B2A8D90" w14:textId="77777777" w:rsidR="0041486C" w:rsidRPr="00107033" w:rsidRDefault="0041486C" w:rsidP="00277BB8">
            <w:pPr>
              <w:rPr>
                <w:rFonts w:ascii="Arial" w:hAnsi="Arial" w:cs="Arial"/>
                <w:sz w:val="24"/>
                <w:szCs w:val="24"/>
              </w:rPr>
            </w:pPr>
          </w:p>
        </w:tc>
        <w:tc>
          <w:tcPr>
            <w:tcW w:w="5040" w:type="dxa"/>
          </w:tcPr>
          <w:p w14:paraId="7A857BFD" w14:textId="77777777" w:rsidR="0041486C" w:rsidRPr="00E55F49" w:rsidRDefault="0041486C" w:rsidP="00E55F49">
            <w:pPr>
              <w:rPr>
                <w:rFonts w:ascii="Arial" w:hAnsi="Arial" w:cs="Arial"/>
                <w:sz w:val="24"/>
                <w:szCs w:val="24"/>
              </w:rPr>
            </w:pPr>
            <w:r w:rsidRPr="00E55F49">
              <w:rPr>
                <w:rFonts w:ascii="Arial" w:hAnsi="Arial" w:cs="Arial"/>
                <w:sz w:val="24"/>
                <w:szCs w:val="24"/>
              </w:rPr>
              <w:t>Add clarifying language to equipment that it is per piece of equipment.</w:t>
            </w:r>
          </w:p>
          <w:p w14:paraId="0FD754A0" w14:textId="77777777" w:rsidR="0041486C" w:rsidRPr="00E55F49" w:rsidRDefault="0041486C" w:rsidP="00E55F49">
            <w:pPr>
              <w:rPr>
                <w:rFonts w:ascii="Arial" w:hAnsi="Arial" w:cs="Arial"/>
                <w:sz w:val="24"/>
                <w:szCs w:val="24"/>
              </w:rPr>
            </w:pPr>
          </w:p>
        </w:tc>
      </w:tr>
      <w:tr w:rsidR="00085543" w:rsidRPr="000A5FA5" w14:paraId="79E2AA8B" w14:textId="77777777" w:rsidTr="00BA3921">
        <w:tc>
          <w:tcPr>
            <w:tcW w:w="2324" w:type="dxa"/>
          </w:tcPr>
          <w:p w14:paraId="62DEED5C" w14:textId="0F4564DE" w:rsidR="007416A8" w:rsidRPr="00E55F49" w:rsidRDefault="00CA287E">
            <w:pPr>
              <w:rPr>
                <w:rFonts w:ascii="Arial" w:hAnsi="Arial" w:cs="Arial"/>
                <w:sz w:val="24"/>
                <w:szCs w:val="24"/>
              </w:rPr>
            </w:pPr>
            <w:r w:rsidRPr="00E55F49">
              <w:rPr>
                <w:rFonts w:ascii="Arial" w:hAnsi="Arial" w:cs="Arial"/>
                <w:sz w:val="24"/>
                <w:szCs w:val="24"/>
              </w:rPr>
              <w:lastRenderedPageBreak/>
              <w:t>25270.2(a)(8)</w:t>
            </w:r>
          </w:p>
        </w:tc>
        <w:tc>
          <w:tcPr>
            <w:tcW w:w="7126" w:type="dxa"/>
          </w:tcPr>
          <w:p w14:paraId="1D44C88D" w14:textId="2F3A45A5" w:rsidR="007416A8" w:rsidRPr="00E55F49" w:rsidRDefault="00CA287E">
            <w:pPr>
              <w:rPr>
                <w:rFonts w:ascii="Arial" w:hAnsi="Arial" w:cs="Arial"/>
                <w:strike/>
                <w:sz w:val="24"/>
                <w:szCs w:val="24"/>
              </w:rPr>
            </w:pPr>
            <w:r w:rsidRPr="00E55F49">
              <w:rPr>
                <w:rFonts w:ascii="Arial" w:hAnsi="Arial" w:cs="Arial"/>
                <w:strike/>
                <w:color w:val="ED0000"/>
                <w:sz w:val="24"/>
                <w:szCs w:val="24"/>
                <w:shd w:val="clear" w:color="auto" w:fill="FFFFFF"/>
              </w:rPr>
              <w:t>A tank in an underground area that has the capacity to store less than 55 gallons of petroleum, has secondary containment, and is inspected monthly, if the owner or operator maintains a log of inspection records for review by the unified program agency upon request.</w:t>
            </w:r>
          </w:p>
        </w:tc>
        <w:tc>
          <w:tcPr>
            <w:tcW w:w="5040" w:type="dxa"/>
          </w:tcPr>
          <w:p w14:paraId="7DFED482" w14:textId="6FD7A27F" w:rsidR="00CA287E" w:rsidRPr="00E55F49" w:rsidRDefault="2A307323" w:rsidP="00CA287E">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With </w:t>
            </w:r>
            <w:r w:rsidR="00A956FC">
              <w:rPr>
                <w:rFonts w:ascii="Arial" w:hAnsi="Arial" w:cs="Arial"/>
                <w:sz w:val="24"/>
                <w:szCs w:val="24"/>
              </w:rPr>
              <w:t xml:space="preserve">19 </w:t>
            </w:r>
            <w:r w:rsidRPr="00E55F49">
              <w:rPr>
                <w:rFonts w:ascii="Arial" w:hAnsi="Arial" w:cs="Arial"/>
                <w:sz w:val="24"/>
                <w:szCs w:val="24"/>
              </w:rPr>
              <w:t xml:space="preserve">CCR </w:t>
            </w:r>
            <w:r w:rsidR="4412787E" w:rsidRPr="00E55F49">
              <w:rPr>
                <w:rFonts w:ascii="Arial" w:hAnsi="Arial" w:cs="Arial"/>
                <w:sz w:val="24"/>
                <w:szCs w:val="24"/>
              </w:rPr>
              <w:t>1602(a) stating to only count 55 gallons of capacity, can we delete this subsection</w:t>
            </w:r>
            <w:r w:rsidR="008F37C7">
              <w:rPr>
                <w:rFonts w:ascii="Arial" w:hAnsi="Arial" w:cs="Arial"/>
                <w:sz w:val="24"/>
                <w:szCs w:val="24"/>
              </w:rPr>
              <w:t>?</w:t>
            </w:r>
          </w:p>
          <w:p w14:paraId="1BEF201D" w14:textId="40214344" w:rsidR="00A956FC" w:rsidRDefault="00A956FC" w:rsidP="00EC60A0">
            <w:pPr>
              <w:pStyle w:val="ListParagraph"/>
              <w:numPr>
                <w:ilvl w:val="0"/>
                <w:numId w:val="4"/>
              </w:numPr>
              <w:ind w:left="144" w:hanging="144"/>
              <w:rPr>
                <w:rFonts w:ascii="Arial" w:hAnsi="Arial" w:cs="Arial"/>
                <w:sz w:val="24"/>
                <w:szCs w:val="24"/>
              </w:rPr>
            </w:pPr>
            <w:r>
              <w:rPr>
                <w:rFonts w:ascii="Arial" w:hAnsi="Arial" w:cs="Arial"/>
                <w:sz w:val="24"/>
                <w:szCs w:val="24"/>
              </w:rPr>
              <w:t>19 CCR 1602</w:t>
            </w:r>
            <w:r w:rsidR="00A477D2">
              <w:rPr>
                <w:rFonts w:ascii="Arial" w:hAnsi="Arial" w:cs="Arial"/>
                <w:sz w:val="24"/>
                <w:szCs w:val="24"/>
              </w:rPr>
              <w:t xml:space="preserve"> also states in subdivision (b) to exclude ASTs excluded under 25270.2(a)(1)-(8)</w:t>
            </w:r>
            <w:r w:rsidR="003877E8">
              <w:rPr>
                <w:rFonts w:ascii="Arial" w:hAnsi="Arial" w:cs="Arial"/>
                <w:sz w:val="24"/>
                <w:szCs w:val="24"/>
              </w:rPr>
              <w:t>.</w:t>
            </w:r>
          </w:p>
          <w:p w14:paraId="0AF9F30E" w14:textId="5F82C8D8" w:rsidR="7B12CB09" w:rsidRPr="00E55F49" w:rsidRDefault="043ACFAC" w:rsidP="00EC60A0">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Jennifer </w:t>
            </w:r>
            <w:r w:rsidR="006C2E69">
              <w:rPr>
                <w:rFonts w:ascii="Arial" w:hAnsi="Arial" w:cs="Arial"/>
                <w:sz w:val="24"/>
                <w:szCs w:val="24"/>
              </w:rPr>
              <w:t xml:space="preserve">Lorenzo </w:t>
            </w:r>
            <w:r w:rsidRPr="00E55F49">
              <w:rPr>
                <w:rFonts w:ascii="Arial" w:hAnsi="Arial" w:cs="Arial"/>
                <w:sz w:val="24"/>
                <w:szCs w:val="24"/>
              </w:rPr>
              <w:t xml:space="preserve">disagrees with removing </w:t>
            </w:r>
            <w:r w:rsidR="00977E8A">
              <w:rPr>
                <w:rFonts w:ascii="Arial" w:hAnsi="Arial" w:cs="Arial"/>
                <w:sz w:val="24"/>
                <w:szCs w:val="24"/>
              </w:rPr>
              <w:t>tiny TIUGAs out of APSA</w:t>
            </w:r>
            <w:r w:rsidRPr="00E55F49">
              <w:rPr>
                <w:rFonts w:ascii="Arial" w:hAnsi="Arial" w:cs="Arial"/>
                <w:sz w:val="24"/>
                <w:szCs w:val="24"/>
              </w:rPr>
              <w:t>.</w:t>
            </w:r>
            <w:r w:rsidR="008405B2">
              <w:rPr>
                <w:rFonts w:ascii="Arial" w:hAnsi="Arial" w:cs="Arial"/>
                <w:sz w:val="24"/>
                <w:szCs w:val="24"/>
              </w:rPr>
              <w:t xml:space="preserve"> Perhaps</w:t>
            </w:r>
            <w:r w:rsidR="008405B2" w:rsidRPr="00277BB8">
              <w:rPr>
                <w:rFonts w:ascii="Arial" w:hAnsi="Arial" w:cs="Arial"/>
                <w:sz w:val="24"/>
                <w:szCs w:val="24"/>
              </w:rPr>
              <w:t xml:space="preserve"> move this out of the AST definition</w:t>
            </w:r>
            <w:r w:rsidR="008405B2">
              <w:rPr>
                <w:rFonts w:ascii="Arial" w:hAnsi="Arial" w:cs="Arial"/>
                <w:sz w:val="24"/>
                <w:szCs w:val="24"/>
              </w:rPr>
              <w:t>. Refer to proposed new section.</w:t>
            </w:r>
          </w:p>
          <w:p w14:paraId="533A14E1" w14:textId="375FE554" w:rsidR="2AF1A200" w:rsidRPr="00E55F49" w:rsidRDefault="2AF1A200" w:rsidP="13ECA5D9">
            <w:pPr>
              <w:pStyle w:val="ListParagraph"/>
              <w:numPr>
                <w:ilvl w:val="0"/>
                <w:numId w:val="4"/>
              </w:numPr>
              <w:ind w:left="144" w:hanging="144"/>
              <w:rPr>
                <w:rFonts w:ascii="Arial" w:hAnsi="Arial" w:cs="Arial"/>
                <w:sz w:val="24"/>
                <w:szCs w:val="24"/>
              </w:rPr>
            </w:pPr>
            <w:r w:rsidRPr="00E55F49">
              <w:rPr>
                <w:rFonts w:ascii="Arial" w:hAnsi="Arial" w:cs="Arial"/>
                <w:sz w:val="24"/>
                <w:szCs w:val="24"/>
              </w:rPr>
              <w:t>25270.2(a)(8) is an exclusion from APSA defin</w:t>
            </w:r>
            <w:r w:rsidR="313F2B25" w:rsidRPr="00E55F49">
              <w:rPr>
                <w:rFonts w:ascii="Arial" w:hAnsi="Arial" w:cs="Arial"/>
                <w:sz w:val="24"/>
                <w:szCs w:val="24"/>
              </w:rPr>
              <w:t>ition of AST</w:t>
            </w:r>
            <w:r w:rsidR="2051FFC2" w:rsidRPr="00E55F49">
              <w:rPr>
                <w:rFonts w:ascii="Arial" w:hAnsi="Arial" w:cs="Arial"/>
                <w:sz w:val="24"/>
                <w:szCs w:val="24"/>
              </w:rPr>
              <w:t>,</w:t>
            </w:r>
            <w:r w:rsidR="313F2B25" w:rsidRPr="00E55F49">
              <w:rPr>
                <w:rFonts w:ascii="Arial" w:hAnsi="Arial" w:cs="Arial"/>
                <w:sz w:val="24"/>
                <w:szCs w:val="24"/>
              </w:rPr>
              <w:t xml:space="preserve"> but it’s still recognized under APSA (rather than UST)</w:t>
            </w:r>
            <w:r w:rsidRPr="00E55F49">
              <w:rPr>
                <w:rFonts w:ascii="Arial" w:hAnsi="Arial" w:cs="Arial"/>
                <w:sz w:val="24"/>
                <w:szCs w:val="24"/>
              </w:rPr>
              <w:t xml:space="preserve">. </w:t>
            </w:r>
            <w:r w:rsidR="2C69C9A6" w:rsidRPr="00E55F49">
              <w:rPr>
                <w:rFonts w:ascii="Arial" w:hAnsi="Arial" w:cs="Arial"/>
                <w:sz w:val="24"/>
                <w:szCs w:val="24"/>
              </w:rPr>
              <w:t xml:space="preserve"> </w:t>
            </w:r>
          </w:p>
          <w:p w14:paraId="27DEACAF" w14:textId="1360AE11" w:rsidR="002F7AFD" w:rsidRPr="00E55F49" w:rsidRDefault="378C2944">
            <w:pPr>
              <w:pStyle w:val="ListParagraph"/>
              <w:numPr>
                <w:ilvl w:val="0"/>
                <w:numId w:val="4"/>
              </w:numPr>
              <w:ind w:left="144" w:hanging="144"/>
              <w:rPr>
                <w:rFonts w:ascii="Arial" w:hAnsi="Arial" w:cs="Arial"/>
                <w:sz w:val="24"/>
                <w:szCs w:val="24"/>
              </w:rPr>
            </w:pPr>
            <w:r w:rsidRPr="00E55F49">
              <w:rPr>
                <w:rFonts w:ascii="Arial" w:hAnsi="Arial" w:cs="Arial"/>
                <w:sz w:val="24"/>
                <w:szCs w:val="24"/>
              </w:rPr>
              <w:t>If this</w:t>
            </w:r>
            <w:r w:rsidR="54A1A1FF" w:rsidRPr="00E55F49">
              <w:rPr>
                <w:rFonts w:ascii="Arial" w:hAnsi="Arial" w:cs="Arial"/>
                <w:sz w:val="24"/>
                <w:szCs w:val="24"/>
              </w:rPr>
              <w:t xml:space="preserve"> subsection</w:t>
            </w:r>
            <w:r w:rsidRPr="00E55F49">
              <w:rPr>
                <w:rFonts w:ascii="Arial" w:hAnsi="Arial" w:cs="Arial"/>
                <w:sz w:val="24"/>
                <w:szCs w:val="24"/>
              </w:rPr>
              <w:t xml:space="preserve"> is removed, then tiny TIUGAs </w:t>
            </w:r>
            <w:r w:rsidR="262AC49D" w:rsidRPr="00E55F49">
              <w:rPr>
                <w:rFonts w:ascii="Arial" w:hAnsi="Arial" w:cs="Arial"/>
                <w:sz w:val="24"/>
                <w:szCs w:val="24"/>
              </w:rPr>
              <w:t>will be</w:t>
            </w:r>
            <w:r w:rsidRPr="00E55F49">
              <w:rPr>
                <w:rFonts w:ascii="Arial" w:hAnsi="Arial" w:cs="Arial"/>
                <w:sz w:val="24"/>
                <w:szCs w:val="24"/>
              </w:rPr>
              <w:t xml:space="preserve"> regulated as UST</w:t>
            </w:r>
            <w:r w:rsidR="56A53D05" w:rsidRPr="00E55F49">
              <w:rPr>
                <w:rFonts w:ascii="Arial" w:hAnsi="Arial" w:cs="Arial"/>
                <w:sz w:val="24"/>
                <w:szCs w:val="24"/>
              </w:rPr>
              <w:t xml:space="preserve"> </w:t>
            </w:r>
            <w:r w:rsidRPr="00E55F49">
              <w:rPr>
                <w:rFonts w:ascii="Arial" w:hAnsi="Arial" w:cs="Arial"/>
                <w:sz w:val="24"/>
                <w:szCs w:val="24"/>
              </w:rPr>
              <w:t>s</w:t>
            </w:r>
            <w:r w:rsidR="56A53D05" w:rsidRPr="00E55F49">
              <w:rPr>
                <w:rFonts w:ascii="Arial" w:hAnsi="Arial" w:cs="Arial"/>
                <w:sz w:val="24"/>
                <w:szCs w:val="24"/>
              </w:rPr>
              <w:t>ystems</w:t>
            </w:r>
            <w:r w:rsidRPr="00E55F49">
              <w:rPr>
                <w:rFonts w:ascii="Arial" w:hAnsi="Arial" w:cs="Arial"/>
                <w:sz w:val="24"/>
                <w:szCs w:val="24"/>
              </w:rPr>
              <w:t>. This</w:t>
            </w:r>
            <w:r w:rsidR="2B756154" w:rsidRPr="00E55F49">
              <w:rPr>
                <w:rFonts w:ascii="Arial" w:hAnsi="Arial" w:cs="Arial"/>
                <w:sz w:val="24"/>
                <w:szCs w:val="24"/>
              </w:rPr>
              <w:t xml:space="preserve"> </w:t>
            </w:r>
            <w:r w:rsidR="00663162">
              <w:rPr>
                <w:rFonts w:ascii="Arial" w:hAnsi="Arial" w:cs="Arial"/>
                <w:sz w:val="24"/>
                <w:szCs w:val="24"/>
              </w:rPr>
              <w:t xml:space="preserve">subdivision </w:t>
            </w:r>
            <w:r w:rsidRPr="00E55F49">
              <w:rPr>
                <w:rFonts w:ascii="Arial" w:hAnsi="Arial" w:cs="Arial"/>
                <w:sz w:val="24"/>
                <w:szCs w:val="24"/>
              </w:rPr>
              <w:t xml:space="preserve">was agreed </w:t>
            </w:r>
            <w:r w:rsidR="5E959A95" w:rsidRPr="00E55F49">
              <w:rPr>
                <w:rFonts w:ascii="Arial" w:hAnsi="Arial" w:cs="Arial"/>
                <w:sz w:val="24"/>
                <w:szCs w:val="24"/>
              </w:rPr>
              <w:t xml:space="preserve">upon </w:t>
            </w:r>
            <w:r w:rsidRPr="00E55F49">
              <w:rPr>
                <w:rFonts w:ascii="Arial" w:hAnsi="Arial" w:cs="Arial"/>
                <w:sz w:val="24"/>
                <w:szCs w:val="24"/>
              </w:rPr>
              <w:t xml:space="preserve">between OSFM and State Water Board, so </w:t>
            </w:r>
            <w:r w:rsidR="5DCC6DEE" w:rsidRPr="00E55F49">
              <w:rPr>
                <w:rFonts w:ascii="Arial" w:hAnsi="Arial" w:cs="Arial"/>
                <w:sz w:val="24"/>
                <w:szCs w:val="24"/>
              </w:rPr>
              <w:t>tiny TIUGAs</w:t>
            </w:r>
            <w:r w:rsidRPr="00E55F49">
              <w:rPr>
                <w:rFonts w:ascii="Arial" w:hAnsi="Arial" w:cs="Arial"/>
                <w:sz w:val="24"/>
                <w:szCs w:val="24"/>
              </w:rPr>
              <w:t xml:space="preserve"> </w:t>
            </w:r>
            <w:r w:rsidR="0CD22566" w:rsidRPr="00E55F49">
              <w:rPr>
                <w:rFonts w:ascii="Arial" w:hAnsi="Arial" w:cs="Arial"/>
                <w:sz w:val="24"/>
                <w:szCs w:val="24"/>
              </w:rPr>
              <w:t xml:space="preserve">stay in APSA and </w:t>
            </w:r>
            <w:r w:rsidR="60B22919" w:rsidRPr="00E55F49">
              <w:rPr>
                <w:rFonts w:ascii="Arial" w:hAnsi="Arial" w:cs="Arial"/>
                <w:sz w:val="24"/>
                <w:szCs w:val="24"/>
              </w:rPr>
              <w:t>do</w:t>
            </w:r>
            <w:r w:rsidRPr="00E55F49">
              <w:rPr>
                <w:rFonts w:ascii="Arial" w:hAnsi="Arial" w:cs="Arial"/>
                <w:sz w:val="24"/>
                <w:szCs w:val="24"/>
              </w:rPr>
              <w:t xml:space="preserve"> not become subject to UST requirements.</w:t>
            </w:r>
            <w:r w:rsidR="428E40AE" w:rsidRPr="00E55F49">
              <w:rPr>
                <w:rFonts w:ascii="Arial" w:hAnsi="Arial" w:cs="Arial"/>
                <w:sz w:val="24"/>
                <w:szCs w:val="24"/>
              </w:rPr>
              <w:t xml:space="preserve"> </w:t>
            </w:r>
          </w:p>
          <w:p w14:paraId="72CE92CD" w14:textId="3565AA32" w:rsidR="002F7AFD" w:rsidRPr="00E55F49" w:rsidRDefault="002F7AFD" w:rsidP="00F6025A">
            <w:pPr>
              <w:rPr>
                <w:rFonts w:ascii="Arial" w:hAnsi="Arial" w:cs="Arial"/>
                <w:sz w:val="24"/>
                <w:szCs w:val="24"/>
              </w:rPr>
            </w:pPr>
          </w:p>
        </w:tc>
      </w:tr>
      <w:tr w:rsidR="000A52B7" w:rsidRPr="00404795" w14:paraId="728E74E0" w14:textId="77777777" w:rsidTr="00BA3921">
        <w:tc>
          <w:tcPr>
            <w:tcW w:w="2324" w:type="dxa"/>
          </w:tcPr>
          <w:p w14:paraId="54B8C595" w14:textId="77777777" w:rsidR="00DB5569" w:rsidRPr="00277BB8" w:rsidRDefault="00DB5569" w:rsidP="00277BB8">
            <w:pPr>
              <w:rPr>
                <w:rFonts w:ascii="Arial" w:hAnsi="Arial" w:cs="Arial"/>
                <w:color w:val="ED0000"/>
                <w:sz w:val="24"/>
                <w:szCs w:val="24"/>
                <w:u w:val="single"/>
              </w:rPr>
            </w:pPr>
            <w:r w:rsidRPr="00277BB8">
              <w:rPr>
                <w:rFonts w:ascii="Arial" w:hAnsi="Arial" w:cs="Arial"/>
                <w:color w:val="ED0000"/>
                <w:sz w:val="24"/>
                <w:szCs w:val="24"/>
                <w:u w:val="single"/>
              </w:rPr>
              <w:t>25270.2(a)(9)</w:t>
            </w:r>
          </w:p>
        </w:tc>
        <w:tc>
          <w:tcPr>
            <w:tcW w:w="7126" w:type="dxa"/>
          </w:tcPr>
          <w:p w14:paraId="4F80D020" w14:textId="79CDD624" w:rsidR="00DB5569" w:rsidRPr="00277BB8" w:rsidRDefault="00DB5569" w:rsidP="00277BB8">
            <w:pPr>
              <w:rPr>
                <w:rFonts w:ascii="Arial" w:eastAsia="Aptos" w:hAnsi="Arial" w:cs="Arial"/>
                <w:color w:val="ED0000"/>
                <w:sz w:val="24"/>
                <w:szCs w:val="24"/>
                <w:u w:val="single"/>
              </w:rPr>
            </w:pPr>
            <w:r w:rsidRPr="00277BB8">
              <w:rPr>
                <w:rFonts w:ascii="Arial" w:hAnsi="Arial" w:cs="Arial"/>
                <w:color w:val="ED0000"/>
                <w:sz w:val="24"/>
                <w:szCs w:val="24"/>
                <w:u w:val="single"/>
              </w:rPr>
              <w:t xml:space="preserve">A </w:t>
            </w:r>
            <w:r w:rsidR="00F647C5">
              <w:rPr>
                <w:rFonts w:ascii="Arial" w:hAnsi="Arial" w:cs="Arial"/>
                <w:color w:val="ED0000"/>
                <w:sz w:val="24"/>
                <w:szCs w:val="24"/>
                <w:u w:val="single"/>
              </w:rPr>
              <w:t xml:space="preserve">storage </w:t>
            </w:r>
            <w:r w:rsidRPr="00277BB8">
              <w:rPr>
                <w:rFonts w:ascii="Arial" w:hAnsi="Arial" w:cs="Arial"/>
                <w:color w:val="ED0000"/>
                <w:sz w:val="24"/>
                <w:szCs w:val="24"/>
                <w:u w:val="single"/>
              </w:rPr>
              <w:t xml:space="preserve">tank that is </w:t>
            </w:r>
            <w:r w:rsidRPr="00277BB8">
              <w:rPr>
                <w:rFonts w:ascii="Arial" w:eastAsia="Aptos" w:hAnsi="Arial" w:cs="Arial"/>
                <w:color w:val="ED0000"/>
                <w:sz w:val="24"/>
                <w:szCs w:val="24"/>
                <w:u w:val="single"/>
              </w:rPr>
              <w:t>“permanently closed” as defined in Section 112.2 of Part 112 of Subchapter D of Chapter I of Title 40 of the Code of Federal Regulations.</w:t>
            </w:r>
          </w:p>
        </w:tc>
        <w:tc>
          <w:tcPr>
            <w:tcW w:w="5040" w:type="dxa"/>
          </w:tcPr>
          <w:p w14:paraId="1BBD4427" w14:textId="21A54D55" w:rsidR="00DB5569" w:rsidRPr="00404795" w:rsidRDefault="00DB5569" w:rsidP="00277BB8">
            <w:pPr>
              <w:rPr>
                <w:rFonts w:ascii="Arial" w:hAnsi="Arial" w:cs="Arial"/>
                <w:sz w:val="24"/>
                <w:szCs w:val="24"/>
              </w:rPr>
            </w:pPr>
            <w:r w:rsidRPr="00404795">
              <w:rPr>
                <w:rFonts w:ascii="Arial" w:hAnsi="Arial" w:cs="Arial"/>
                <w:sz w:val="24"/>
                <w:szCs w:val="24"/>
              </w:rPr>
              <w:t xml:space="preserve">Consistent with SPCC rule exclusion per </w:t>
            </w:r>
            <w:r w:rsidR="002F0CED">
              <w:rPr>
                <w:rFonts w:ascii="Arial" w:hAnsi="Arial" w:cs="Arial"/>
                <w:sz w:val="24"/>
                <w:szCs w:val="24"/>
              </w:rPr>
              <w:t xml:space="preserve">40 CFR </w:t>
            </w:r>
            <w:r w:rsidRPr="00404795">
              <w:rPr>
                <w:rFonts w:ascii="Arial" w:hAnsi="Arial" w:cs="Arial"/>
                <w:sz w:val="24"/>
                <w:szCs w:val="24"/>
              </w:rPr>
              <w:t>112.1.</w:t>
            </w:r>
          </w:p>
          <w:p w14:paraId="6227E150" w14:textId="77777777" w:rsidR="00DB5569" w:rsidRDefault="00444521" w:rsidP="00277BB8">
            <w:pPr>
              <w:rPr>
                <w:rFonts w:ascii="Arial" w:hAnsi="Arial" w:cs="Arial"/>
                <w:sz w:val="24"/>
                <w:szCs w:val="24"/>
              </w:rPr>
            </w:pPr>
            <w:proofErr w:type="gramStart"/>
            <w:r>
              <w:rPr>
                <w:rFonts w:ascii="Arial" w:hAnsi="Arial" w:cs="Arial"/>
                <w:sz w:val="24"/>
                <w:szCs w:val="24"/>
              </w:rPr>
              <w:t>Unknown</w:t>
            </w:r>
            <w:proofErr w:type="gramEnd"/>
            <w:r>
              <w:rPr>
                <w:rFonts w:ascii="Arial" w:hAnsi="Arial" w:cs="Arial"/>
                <w:sz w:val="24"/>
                <w:szCs w:val="24"/>
              </w:rPr>
              <w:t xml:space="preserve">: </w:t>
            </w:r>
            <w:r w:rsidR="00DB5569" w:rsidRPr="00404795">
              <w:rPr>
                <w:rFonts w:ascii="Arial" w:hAnsi="Arial" w:cs="Arial"/>
                <w:sz w:val="24"/>
                <w:szCs w:val="24"/>
              </w:rPr>
              <w:t>Is there any way to get this to line up better with HMBP requirements, or to further clarify when a tank is permanently closed? This has been an issue in the past for seasonal storage, when a tank is put into service and taken back out, and it has crossover with the HMBP program. There is some confusion on when it needs to be reported in CERS and when it doesn’t, and if this type of seasonal closure meets the definition of “permanently closed”.</w:t>
            </w:r>
          </w:p>
          <w:p w14:paraId="46EC4E8E" w14:textId="760551B4" w:rsidR="007B376E" w:rsidRPr="00404795" w:rsidRDefault="007B376E" w:rsidP="00277BB8">
            <w:pPr>
              <w:rPr>
                <w:rFonts w:ascii="Arial" w:hAnsi="Arial" w:cs="Arial"/>
                <w:sz w:val="24"/>
                <w:szCs w:val="24"/>
              </w:rPr>
            </w:pPr>
          </w:p>
        </w:tc>
      </w:tr>
      <w:tr w:rsidR="000A52B7" w:rsidRPr="00404795" w14:paraId="4675AE2C" w14:textId="77777777" w:rsidTr="00BA3921">
        <w:tc>
          <w:tcPr>
            <w:tcW w:w="2324" w:type="dxa"/>
          </w:tcPr>
          <w:p w14:paraId="5E26A6AA" w14:textId="77777777" w:rsidR="00DB5569" w:rsidRPr="00277BB8" w:rsidRDefault="00DB5569" w:rsidP="00277BB8">
            <w:pPr>
              <w:rPr>
                <w:rFonts w:ascii="Arial" w:hAnsi="Arial" w:cs="Arial"/>
                <w:color w:val="ED0000"/>
                <w:sz w:val="24"/>
                <w:szCs w:val="24"/>
                <w:u w:val="single"/>
              </w:rPr>
            </w:pPr>
            <w:r w:rsidRPr="00277BB8">
              <w:rPr>
                <w:rFonts w:ascii="Arial" w:hAnsi="Arial" w:cs="Arial"/>
                <w:color w:val="ED0000"/>
                <w:sz w:val="24"/>
                <w:szCs w:val="24"/>
                <w:u w:val="single"/>
              </w:rPr>
              <w:lastRenderedPageBreak/>
              <w:t>25270.2(a)(10)</w:t>
            </w:r>
          </w:p>
          <w:p w14:paraId="0BD4BA2D" w14:textId="77777777" w:rsidR="00DB5569" w:rsidRPr="00277BB8" w:rsidRDefault="00DB5569" w:rsidP="00277BB8">
            <w:pPr>
              <w:rPr>
                <w:rFonts w:ascii="Arial" w:hAnsi="Arial" w:cs="Arial"/>
                <w:color w:val="ED0000"/>
                <w:sz w:val="24"/>
                <w:szCs w:val="24"/>
                <w:u w:val="single"/>
              </w:rPr>
            </w:pPr>
          </w:p>
        </w:tc>
        <w:tc>
          <w:tcPr>
            <w:tcW w:w="7126" w:type="dxa"/>
          </w:tcPr>
          <w:p w14:paraId="7AF711D5" w14:textId="70A2E235" w:rsidR="00DB5569" w:rsidRPr="00277BB8" w:rsidRDefault="00DB5569" w:rsidP="00277BB8">
            <w:pPr>
              <w:rPr>
                <w:rFonts w:ascii="Arial" w:hAnsi="Arial" w:cs="Arial"/>
                <w:color w:val="ED0000"/>
                <w:sz w:val="24"/>
                <w:szCs w:val="24"/>
                <w:u w:val="single"/>
              </w:rPr>
            </w:pPr>
            <w:r w:rsidRPr="00277BB8">
              <w:rPr>
                <w:rFonts w:ascii="Arial" w:eastAsia="Aptos" w:hAnsi="Arial" w:cs="Arial"/>
                <w:color w:val="ED0000"/>
                <w:sz w:val="24"/>
                <w:szCs w:val="24"/>
                <w:u w:val="single"/>
              </w:rPr>
              <w:t xml:space="preserve">A </w:t>
            </w:r>
            <w:r w:rsidR="00F647C5">
              <w:rPr>
                <w:rFonts w:ascii="Arial" w:eastAsia="Aptos" w:hAnsi="Arial" w:cs="Arial"/>
                <w:color w:val="ED0000"/>
                <w:sz w:val="24"/>
                <w:szCs w:val="24"/>
                <w:u w:val="single"/>
              </w:rPr>
              <w:t xml:space="preserve">storage </w:t>
            </w:r>
            <w:r w:rsidRPr="00277BB8">
              <w:rPr>
                <w:rFonts w:ascii="Arial" w:eastAsia="Aptos" w:hAnsi="Arial" w:cs="Arial"/>
                <w:color w:val="ED0000"/>
                <w:sz w:val="24"/>
                <w:szCs w:val="24"/>
                <w:u w:val="single"/>
              </w:rPr>
              <w:t xml:space="preserve">tank containing heating oil </w:t>
            </w:r>
            <w:proofErr w:type="gramStart"/>
            <w:r w:rsidRPr="00277BB8">
              <w:rPr>
                <w:rFonts w:ascii="Arial" w:eastAsia="Aptos" w:hAnsi="Arial" w:cs="Arial"/>
                <w:color w:val="ED0000"/>
                <w:sz w:val="24"/>
                <w:szCs w:val="24"/>
                <w:u w:val="single"/>
              </w:rPr>
              <w:t>used</w:t>
            </w:r>
            <w:proofErr w:type="gramEnd"/>
            <w:r w:rsidRPr="00277BB8">
              <w:rPr>
                <w:rFonts w:ascii="Arial" w:eastAsia="Aptos" w:hAnsi="Arial" w:cs="Arial"/>
                <w:color w:val="ED0000"/>
                <w:sz w:val="24"/>
                <w:szCs w:val="24"/>
                <w:u w:val="single"/>
              </w:rPr>
              <w:t xml:space="preserve"> solely at a single-family residence</w:t>
            </w:r>
            <w:r>
              <w:rPr>
                <w:rFonts w:ascii="Arial" w:eastAsia="Aptos" w:hAnsi="Arial" w:cs="Arial"/>
                <w:color w:val="ED0000"/>
                <w:sz w:val="24"/>
                <w:szCs w:val="24"/>
                <w:u w:val="single"/>
              </w:rPr>
              <w:t>.</w:t>
            </w:r>
          </w:p>
        </w:tc>
        <w:tc>
          <w:tcPr>
            <w:tcW w:w="5040" w:type="dxa"/>
          </w:tcPr>
          <w:p w14:paraId="0AFBCD41" w14:textId="77777777" w:rsidR="00DB5569" w:rsidRDefault="00DB5569" w:rsidP="00277BB8">
            <w:pPr>
              <w:rPr>
                <w:rFonts w:ascii="Arial" w:hAnsi="Arial" w:cs="Arial"/>
                <w:sz w:val="24"/>
                <w:szCs w:val="24"/>
              </w:rPr>
            </w:pPr>
            <w:r w:rsidRPr="00404795">
              <w:rPr>
                <w:rFonts w:ascii="Arial" w:hAnsi="Arial" w:cs="Arial"/>
                <w:sz w:val="24"/>
                <w:szCs w:val="24"/>
              </w:rPr>
              <w:t xml:space="preserve">Consistent with SPCC rule exclusion per </w:t>
            </w:r>
            <w:r w:rsidR="002F0CED">
              <w:rPr>
                <w:rFonts w:ascii="Arial" w:hAnsi="Arial" w:cs="Arial"/>
                <w:sz w:val="24"/>
                <w:szCs w:val="24"/>
              </w:rPr>
              <w:t xml:space="preserve">40 CFR </w:t>
            </w:r>
            <w:r w:rsidRPr="00404795">
              <w:rPr>
                <w:rFonts w:ascii="Arial" w:hAnsi="Arial" w:cs="Arial"/>
                <w:sz w:val="24"/>
                <w:szCs w:val="24"/>
              </w:rPr>
              <w:t>112.1.</w:t>
            </w:r>
          </w:p>
          <w:p w14:paraId="73740F23" w14:textId="37B2B1F3" w:rsidR="007B376E" w:rsidRPr="00404795" w:rsidRDefault="007B376E" w:rsidP="00277BB8">
            <w:pPr>
              <w:rPr>
                <w:rFonts w:ascii="Arial" w:hAnsi="Arial" w:cs="Arial"/>
                <w:sz w:val="24"/>
                <w:szCs w:val="24"/>
              </w:rPr>
            </w:pPr>
          </w:p>
        </w:tc>
      </w:tr>
      <w:tr w:rsidR="000A52B7" w:rsidRPr="00404795" w14:paraId="025C059D" w14:textId="77777777" w:rsidTr="00BA3921">
        <w:tc>
          <w:tcPr>
            <w:tcW w:w="2324" w:type="dxa"/>
          </w:tcPr>
          <w:p w14:paraId="2BA79C96" w14:textId="77777777" w:rsidR="00DB5569" w:rsidRPr="00277BB8" w:rsidRDefault="00DB5569" w:rsidP="00277BB8">
            <w:pPr>
              <w:rPr>
                <w:rFonts w:ascii="Arial" w:hAnsi="Arial" w:cs="Arial"/>
                <w:color w:val="ED0000"/>
                <w:sz w:val="24"/>
                <w:szCs w:val="24"/>
                <w:u w:val="single"/>
              </w:rPr>
            </w:pPr>
            <w:r w:rsidRPr="00277BB8">
              <w:rPr>
                <w:rFonts w:ascii="Arial" w:hAnsi="Arial" w:cs="Arial"/>
                <w:color w:val="ED0000"/>
                <w:sz w:val="24"/>
                <w:szCs w:val="24"/>
                <w:u w:val="single"/>
              </w:rPr>
              <w:t>25270.2(a)(11)</w:t>
            </w:r>
          </w:p>
          <w:p w14:paraId="582EEEB9" w14:textId="77777777" w:rsidR="00DB5569" w:rsidRPr="00277BB8" w:rsidRDefault="00DB5569" w:rsidP="00277BB8">
            <w:pPr>
              <w:rPr>
                <w:rFonts w:ascii="Arial" w:hAnsi="Arial" w:cs="Arial"/>
                <w:color w:val="ED0000"/>
                <w:sz w:val="24"/>
                <w:szCs w:val="24"/>
                <w:u w:val="single"/>
              </w:rPr>
            </w:pPr>
          </w:p>
        </w:tc>
        <w:tc>
          <w:tcPr>
            <w:tcW w:w="7126" w:type="dxa"/>
          </w:tcPr>
          <w:p w14:paraId="35BC8AF6" w14:textId="77777777" w:rsidR="00DB5569" w:rsidRDefault="00DB5569" w:rsidP="00277BB8">
            <w:pPr>
              <w:rPr>
                <w:rFonts w:ascii="Arial" w:eastAsia="Aptos" w:hAnsi="Arial" w:cs="Arial"/>
                <w:color w:val="ED0000"/>
                <w:sz w:val="24"/>
                <w:szCs w:val="24"/>
                <w:u w:val="single"/>
              </w:rPr>
            </w:pPr>
            <w:r w:rsidRPr="00277BB8">
              <w:rPr>
                <w:rFonts w:ascii="Arial" w:hAnsi="Arial" w:cs="Arial"/>
                <w:color w:val="ED0000"/>
                <w:sz w:val="24"/>
                <w:szCs w:val="24"/>
                <w:u w:val="single"/>
              </w:rPr>
              <w:t xml:space="preserve">A motive power container as </w:t>
            </w:r>
            <w:r w:rsidRPr="00277BB8">
              <w:rPr>
                <w:rFonts w:ascii="Arial" w:eastAsia="Aptos" w:hAnsi="Arial" w:cs="Arial"/>
                <w:color w:val="ED0000"/>
                <w:sz w:val="24"/>
                <w:szCs w:val="24"/>
                <w:u w:val="single"/>
              </w:rPr>
              <w:t>defined in Section 112.2 of Part 112 of Subchapter D of Chapter I of Title 40 of the Code of Federal Regulations.</w:t>
            </w:r>
          </w:p>
          <w:p w14:paraId="1B890CF2" w14:textId="77777777" w:rsidR="007B376E" w:rsidRPr="00277BB8" w:rsidRDefault="007B376E" w:rsidP="00277BB8">
            <w:pPr>
              <w:rPr>
                <w:rFonts w:ascii="Arial" w:eastAsia="Aptos" w:hAnsi="Arial" w:cs="Arial"/>
                <w:color w:val="ED0000"/>
                <w:sz w:val="24"/>
                <w:szCs w:val="24"/>
                <w:u w:val="single"/>
              </w:rPr>
            </w:pPr>
          </w:p>
        </w:tc>
        <w:tc>
          <w:tcPr>
            <w:tcW w:w="5040" w:type="dxa"/>
          </w:tcPr>
          <w:p w14:paraId="73C25C4E" w14:textId="380CBB77" w:rsidR="00DB5569" w:rsidRPr="00404795" w:rsidRDefault="00DB5569" w:rsidP="00277BB8">
            <w:pPr>
              <w:rPr>
                <w:rFonts w:ascii="Arial" w:hAnsi="Arial" w:cs="Arial"/>
                <w:sz w:val="24"/>
                <w:szCs w:val="24"/>
              </w:rPr>
            </w:pPr>
            <w:r w:rsidRPr="00404795">
              <w:rPr>
                <w:rFonts w:ascii="Arial" w:hAnsi="Arial" w:cs="Arial"/>
                <w:sz w:val="24"/>
                <w:szCs w:val="24"/>
              </w:rPr>
              <w:t xml:space="preserve">Consistent with SPCC rule exclusion per </w:t>
            </w:r>
            <w:r w:rsidR="002F0CED">
              <w:rPr>
                <w:rFonts w:ascii="Arial" w:hAnsi="Arial" w:cs="Arial"/>
                <w:sz w:val="24"/>
                <w:szCs w:val="24"/>
              </w:rPr>
              <w:t xml:space="preserve">40 CFR </w:t>
            </w:r>
            <w:r w:rsidRPr="00404795">
              <w:rPr>
                <w:rFonts w:ascii="Arial" w:hAnsi="Arial" w:cs="Arial"/>
                <w:sz w:val="24"/>
                <w:szCs w:val="24"/>
              </w:rPr>
              <w:t>112.1.</w:t>
            </w:r>
          </w:p>
        </w:tc>
      </w:tr>
      <w:tr w:rsidR="000A52B7" w:rsidRPr="00404795" w14:paraId="7DC07AF2" w14:textId="77777777" w:rsidTr="00BA3921">
        <w:tc>
          <w:tcPr>
            <w:tcW w:w="2324" w:type="dxa"/>
          </w:tcPr>
          <w:p w14:paraId="1F501375" w14:textId="77777777" w:rsidR="00DB5569" w:rsidRPr="00277BB8" w:rsidRDefault="00DB5569" w:rsidP="00277BB8">
            <w:pPr>
              <w:rPr>
                <w:rFonts w:ascii="Arial" w:hAnsi="Arial" w:cs="Arial"/>
                <w:color w:val="ED0000"/>
                <w:sz w:val="24"/>
                <w:szCs w:val="24"/>
                <w:u w:val="single"/>
              </w:rPr>
            </w:pPr>
            <w:r w:rsidRPr="00277BB8">
              <w:rPr>
                <w:rFonts w:ascii="Arial" w:hAnsi="Arial" w:cs="Arial"/>
                <w:color w:val="ED0000"/>
                <w:sz w:val="24"/>
                <w:szCs w:val="24"/>
                <w:u w:val="single"/>
              </w:rPr>
              <w:t>25270.2(a)(12)</w:t>
            </w:r>
          </w:p>
        </w:tc>
        <w:tc>
          <w:tcPr>
            <w:tcW w:w="7126" w:type="dxa"/>
          </w:tcPr>
          <w:p w14:paraId="79981B26" w14:textId="77777777" w:rsidR="00DB5569" w:rsidRDefault="00DB5569" w:rsidP="00277BB8">
            <w:pPr>
              <w:rPr>
                <w:rFonts w:ascii="Arial" w:eastAsia="Aptos" w:hAnsi="Arial" w:cs="Arial"/>
                <w:color w:val="ED0000"/>
                <w:sz w:val="24"/>
                <w:szCs w:val="24"/>
                <w:u w:val="single"/>
              </w:rPr>
            </w:pPr>
            <w:r w:rsidRPr="00277BB8">
              <w:rPr>
                <w:rFonts w:ascii="Arial" w:eastAsia="Aptos" w:hAnsi="Arial" w:cs="Arial"/>
                <w:color w:val="ED0000"/>
                <w:sz w:val="24"/>
                <w:szCs w:val="24"/>
                <w:u w:val="single"/>
              </w:rPr>
              <w:t xml:space="preserve">A pesticide application equipment or related mix containers </w:t>
            </w:r>
            <w:r w:rsidRPr="00277BB8">
              <w:rPr>
                <w:rFonts w:ascii="Arial" w:hAnsi="Arial" w:cs="Arial"/>
                <w:color w:val="ED0000"/>
                <w:sz w:val="24"/>
                <w:szCs w:val="24"/>
                <w:u w:val="single"/>
              </w:rPr>
              <w:t xml:space="preserve">as </w:t>
            </w:r>
            <w:r w:rsidR="00BF6B60">
              <w:rPr>
                <w:rFonts w:ascii="Arial" w:hAnsi="Arial" w:cs="Arial"/>
                <w:color w:val="ED0000"/>
                <w:sz w:val="24"/>
                <w:szCs w:val="24"/>
                <w:u w:val="single"/>
              </w:rPr>
              <w:t>specifi</w:t>
            </w:r>
            <w:r w:rsidRPr="00277BB8">
              <w:rPr>
                <w:rFonts w:ascii="Arial" w:hAnsi="Arial" w:cs="Arial"/>
                <w:color w:val="ED0000"/>
                <w:sz w:val="24"/>
                <w:szCs w:val="24"/>
                <w:u w:val="single"/>
              </w:rPr>
              <w:t xml:space="preserve">ed </w:t>
            </w:r>
            <w:r w:rsidRPr="00277BB8">
              <w:rPr>
                <w:rFonts w:ascii="Arial" w:eastAsia="Aptos" w:hAnsi="Arial" w:cs="Arial"/>
                <w:color w:val="ED0000"/>
                <w:sz w:val="24"/>
                <w:szCs w:val="24"/>
                <w:u w:val="single"/>
              </w:rPr>
              <w:t>in Section 112.1 of Part 112 of Subchapter D of Chapter I of Title 40 of the Code of Federal Regulations.</w:t>
            </w:r>
          </w:p>
          <w:p w14:paraId="5E07248E" w14:textId="2B636AD9" w:rsidR="007B376E" w:rsidRPr="00277BB8" w:rsidRDefault="007B376E" w:rsidP="00277BB8">
            <w:pPr>
              <w:rPr>
                <w:rFonts w:ascii="Arial" w:hAnsi="Arial" w:cs="Arial"/>
                <w:color w:val="ED0000"/>
                <w:sz w:val="24"/>
                <w:szCs w:val="24"/>
                <w:u w:val="single"/>
              </w:rPr>
            </w:pPr>
          </w:p>
        </w:tc>
        <w:tc>
          <w:tcPr>
            <w:tcW w:w="5040" w:type="dxa"/>
          </w:tcPr>
          <w:p w14:paraId="53123D24" w14:textId="5D6AA36D" w:rsidR="00DB5569" w:rsidRPr="00404795" w:rsidRDefault="00DB5569" w:rsidP="00277BB8">
            <w:pPr>
              <w:rPr>
                <w:rFonts w:ascii="Arial" w:hAnsi="Arial" w:cs="Arial"/>
                <w:sz w:val="24"/>
                <w:szCs w:val="24"/>
              </w:rPr>
            </w:pPr>
            <w:r w:rsidRPr="00404795">
              <w:rPr>
                <w:rFonts w:ascii="Arial" w:hAnsi="Arial" w:cs="Arial"/>
                <w:sz w:val="24"/>
                <w:szCs w:val="24"/>
              </w:rPr>
              <w:t xml:space="preserve">Consistent with SPCC rule exclusion per </w:t>
            </w:r>
            <w:r w:rsidR="002F0CED">
              <w:rPr>
                <w:rFonts w:ascii="Arial" w:hAnsi="Arial" w:cs="Arial"/>
                <w:sz w:val="24"/>
                <w:szCs w:val="24"/>
              </w:rPr>
              <w:t xml:space="preserve">40 CFR </w:t>
            </w:r>
            <w:r w:rsidRPr="00404795">
              <w:rPr>
                <w:rFonts w:ascii="Arial" w:hAnsi="Arial" w:cs="Arial"/>
                <w:sz w:val="24"/>
                <w:szCs w:val="24"/>
              </w:rPr>
              <w:t>112.1.</w:t>
            </w:r>
          </w:p>
        </w:tc>
      </w:tr>
      <w:tr w:rsidR="000A52B7" w:rsidRPr="00404795" w14:paraId="74BDC7E6" w14:textId="77777777" w:rsidTr="00BA3921">
        <w:trPr>
          <w:trHeight w:val="300"/>
        </w:trPr>
        <w:tc>
          <w:tcPr>
            <w:tcW w:w="2324" w:type="dxa"/>
          </w:tcPr>
          <w:p w14:paraId="5C399331" w14:textId="77777777" w:rsidR="00DB5569" w:rsidRPr="00277BB8" w:rsidRDefault="00DB5569" w:rsidP="00277BB8">
            <w:pPr>
              <w:rPr>
                <w:rFonts w:ascii="Arial" w:hAnsi="Arial" w:cs="Arial"/>
                <w:color w:val="ED0000"/>
                <w:sz w:val="24"/>
                <w:szCs w:val="24"/>
                <w:u w:val="single"/>
              </w:rPr>
            </w:pPr>
            <w:r w:rsidRPr="00277BB8">
              <w:rPr>
                <w:rFonts w:ascii="Arial" w:hAnsi="Arial" w:cs="Arial"/>
                <w:color w:val="ED0000"/>
                <w:sz w:val="24"/>
                <w:szCs w:val="24"/>
                <w:u w:val="single"/>
              </w:rPr>
              <w:t>25270.2(a)(13)</w:t>
            </w:r>
          </w:p>
        </w:tc>
        <w:tc>
          <w:tcPr>
            <w:tcW w:w="7126" w:type="dxa"/>
          </w:tcPr>
          <w:p w14:paraId="27D0B39E" w14:textId="0BAF477E" w:rsidR="00DB5569" w:rsidRPr="00277BB8" w:rsidRDefault="00DB5569" w:rsidP="00277BB8">
            <w:pPr>
              <w:rPr>
                <w:rFonts w:ascii="Arial" w:eastAsia="Aptos" w:hAnsi="Arial" w:cs="Arial"/>
                <w:color w:val="ED0000"/>
                <w:sz w:val="24"/>
                <w:szCs w:val="24"/>
                <w:u w:val="single"/>
              </w:rPr>
            </w:pPr>
            <w:r w:rsidRPr="00277BB8">
              <w:rPr>
                <w:rFonts w:ascii="Arial" w:eastAsia="Aptos" w:hAnsi="Arial" w:cs="Arial"/>
                <w:color w:val="ED0000"/>
                <w:sz w:val="24"/>
                <w:szCs w:val="24"/>
                <w:u w:val="single"/>
              </w:rPr>
              <w:t xml:space="preserve">A tank facility or part thereof used exclusively for wastewater treatment </w:t>
            </w:r>
            <w:r>
              <w:rPr>
                <w:rFonts w:ascii="Arial" w:eastAsia="Aptos" w:hAnsi="Arial" w:cs="Arial"/>
                <w:color w:val="ED0000"/>
                <w:sz w:val="24"/>
                <w:szCs w:val="24"/>
                <w:u w:val="single"/>
              </w:rPr>
              <w:t xml:space="preserve">or drinking water treatment </w:t>
            </w:r>
            <w:r w:rsidRPr="00277BB8">
              <w:rPr>
                <w:rFonts w:ascii="Arial" w:eastAsia="Aptos" w:hAnsi="Arial" w:cs="Arial"/>
                <w:color w:val="ED0000"/>
                <w:sz w:val="24"/>
                <w:szCs w:val="24"/>
                <w:u w:val="single"/>
              </w:rPr>
              <w:t xml:space="preserve">and not used to satisfy any requirement of Part 112 of Subchapter D of Chapter I of Title 40 of the Code of Federal Regulations. </w:t>
            </w:r>
          </w:p>
          <w:p w14:paraId="42AE6247" w14:textId="77777777" w:rsidR="00DB5569" w:rsidRPr="00277BB8" w:rsidRDefault="00DB5569" w:rsidP="00E55F49">
            <w:pPr>
              <w:rPr>
                <w:rFonts w:ascii="Arial" w:hAnsi="Arial" w:cs="Arial"/>
                <w:color w:val="ED0000"/>
                <w:sz w:val="24"/>
                <w:szCs w:val="24"/>
                <w:u w:val="single"/>
              </w:rPr>
            </w:pPr>
          </w:p>
        </w:tc>
        <w:tc>
          <w:tcPr>
            <w:tcW w:w="5040" w:type="dxa"/>
          </w:tcPr>
          <w:p w14:paraId="36FD1FCD" w14:textId="5E6015BC" w:rsidR="00DB5569" w:rsidRPr="00404795" w:rsidRDefault="00DB5569" w:rsidP="00277BB8">
            <w:pPr>
              <w:rPr>
                <w:rFonts w:ascii="Arial" w:hAnsi="Arial" w:cs="Arial"/>
                <w:sz w:val="24"/>
                <w:szCs w:val="24"/>
              </w:rPr>
            </w:pPr>
            <w:r w:rsidRPr="00404795">
              <w:rPr>
                <w:rFonts w:ascii="Arial" w:hAnsi="Arial" w:cs="Arial"/>
                <w:sz w:val="24"/>
                <w:szCs w:val="24"/>
              </w:rPr>
              <w:t xml:space="preserve">Consistent with SPCC rule exclusion per </w:t>
            </w:r>
            <w:r w:rsidR="002F0CED">
              <w:rPr>
                <w:rFonts w:ascii="Arial" w:hAnsi="Arial" w:cs="Arial"/>
                <w:sz w:val="24"/>
                <w:szCs w:val="24"/>
              </w:rPr>
              <w:t xml:space="preserve">40 CFR </w:t>
            </w:r>
            <w:r w:rsidRPr="00404795">
              <w:rPr>
                <w:rFonts w:ascii="Arial" w:hAnsi="Arial" w:cs="Arial"/>
                <w:sz w:val="24"/>
                <w:szCs w:val="24"/>
              </w:rPr>
              <w:t>112.1.</w:t>
            </w:r>
          </w:p>
          <w:p w14:paraId="27B9C56E" w14:textId="77777777" w:rsidR="00DB5569" w:rsidRPr="00404795" w:rsidRDefault="00DB5569" w:rsidP="00277BB8">
            <w:pPr>
              <w:rPr>
                <w:rFonts w:ascii="Arial" w:hAnsi="Arial" w:cs="Arial"/>
                <w:sz w:val="24"/>
                <w:szCs w:val="24"/>
              </w:rPr>
            </w:pPr>
          </w:p>
          <w:p w14:paraId="1CD7CB27" w14:textId="0516A0BD" w:rsidR="00DB5569" w:rsidRPr="00404795" w:rsidRDefault="00DB5569" w:rsidP="00277BB8">
            <w:pPr>
              <w:rPr>
                <w:rFonts w:ascii="Arial" w:hAnsi="Arial" w:cs="Arial"/>
                <w:sz w:val="24"/>
                <w:szCs w:val="24"/>
              </w:rPr>
            </w:pPr>
            <w:r w:rsidRPr="00404795">
              <w:rPr>
                <w:rFonts w:ascii="Arial" w:hAnsi="Arial" w:cs="Arial"/>
                <w:sz w:val="24"/>
                <w:szCs w:val="24"/>
              </w:rPr>
              <w:t>Do we still want to exclude tanks containing petroleum (flocculent) used in water treatment for purposes of drinking water</w:t>
            </w:r>
            <w:r w:rsidR="00584CC8">
              <w:rPr>
                <w:rFonts w:ascii="Arial" w:hAnsi="Arial" w:cs="Arial"/>
                <w:sz w:val="24"/>
                <w:szCs w:val="24"/>
              </w:rPr>
              <w:t>?</w:t>
            </w:r>
          </w:p>
          <w:p w14:paraId="1D9967DE" w14:textId="77777777" w:rsidR="00DB5569" w:rsidRPr="00404795" w:rsidRDefault="00DB5569" w:rsidP="00277BB8">
            <w:pPr>
              <w:rPr>
                <w:rFonts w:ascii="Arial" w:hAnsi="Arial" w:cs="Arial"/>
                <w:sz w:val="24"/>
                <w:szCs w:val="24"/>
              </w:rPr>
            </w:pPr>
          </w:p>
          <w:p w14:paraId="21327B2E" w14:textId="0B7A784C" w:rsidR="00DB5569" w:rsidRPr="00404795" w:rsidRDefault="00DB5569" w:rsidP="00277BB8">
            <w:pPr>
              <w:rPr>
                <w:rFonts w:ascii="Arial" w:hAnsi="Arial" w:cs="Arial"/>
                <w:sz w:val="24"/>
                <w:szCs w:val="24"/>
              </w:rPr>
            </w:pPr>
            <w:r>
              <w:rPr>
                <w:rFonts w:ascii="Arial" w:hAnsi="Arial" w:cs="Arial"/>
                <w:sz w:val="24"/>
                <w:szCs w:val="24"/>
              </w:rPr>
              <w:t>Andy</w:t>
            </w:r>
            <w:r w:rsidR="006C2E69">
              <w:rPr>
                <w:rFonts w:ascii="Arial" w:hAnsi="Arial" w:cs="Arial"/>
                <w:sz w:val="24"/>
                <w:szCs w:val="24"/>
              </w:rPr>
              <w:t xml:space="preserve"> Dye</w:t>
            </w:r>
            <w:r>
              <w:rPr>
                <w:rFonts w:ascii="Arial" w:hAnsi="Arial" w:cs="Arial"/>
                <w:sz w:val="24"/>
                <w:szCs w:val="24"/>
              </w:rPr>
              <w:t xml:space="preserve">: </w:t>
            </w:r>
            <w:r w:rsidRPr="00404795">
              <w:rPr>
                <w:rFonts w:ascii="Arial" w:hAnsi="Arial" w:cs="Arial"/>
                <w:sz w:val="24"/>
                <w:szCs w:val="24"/>
              </w:rPr>
              <w:t>I think we should exclude tanks containing petroleum flocculent used in drinking water treatment as well, since the process is similar to wastewater treatment. I think some of these flocculants are also used in industrial wastewater treatment, and we should be careful with the wording to ensure those industrial wastewater treatment processes do not get excluded.</w:t>
            </w:r>
          </w:p>
          <w:p w14:paraId="28AC4AC9" w14:textId="77777777" w:rsidR="00DB5569" w:rsidRPr="00404795" w:rsidRDefault="00DB5569" w:rsidP="00277BB8">
            <w:pPr>
              <w:rPr>
                <w:rFonts w:ascii="Arial" w:hAnsi="Arial" w:cs="Arial"/>
                <w:sz w:val="24"/>
                <w:szCs w:val="24"/>
              </w:rPr>
            </w:pPr>
          </w:p>
        </w:tc>
      </w:tr>
      <w:tr w:rsidR="00085543" w:rsidRPr="000A5FA5" w14:paraId="5E2CAE36" w14:textId="77777777" w:rsidTr="00BA3921">
        <w:tc>
          <w:tcPr>
            <w:tcW w:w="2324" w:type="dxa"/>
          </w:tcPr>
          <w:p w14:paraId="07B5A23E" w14:textId="6BFBC811" w:rsidR="007416A8" w:rsidRPr="00E55F49" w:rsidRDefault="003E6A3C">
            <w:pPr>
              <w:rPr>
                <w:rFonts w:ascii="Arial" w:hAnsi="Arial" w:cs="Arial"/>
                <w:sz w:val="24"/>
                <w:szCs w:val="24"/>
              </w:rPr>
            </w:pPr>
            <w:r w:rsidRPr="00E55F49">
              <w:rPr>
                <w:rFonts w:ascii="Arial" w:hAnsi="Arial" w:cs="Arial"/>
                <w:sz w:val="24"/>
                <w:szCs w:val="24"/>
              </w:rPr>
              <w:t>25270.2(o)(1)(B)</w:t>
            </w:r>
          </w:p>
        </w:tc>
        <w:tc>
          <w:tcPr>
            <w:tcW w:w="7126" w:type="dxa"/>
          </w:tcPr>
          <w:p w14:paraId="70E9F9DD" w14:textId="71703897" w:rsidR="00992CFB" w:rsidRDefault="00992CFB">
            <w:pPr>
              <w:rPr>
                <w:rFonts w:ascii="Arial" w:hAnsi="Arial" w:cs="Arial"/>
                <w:sz w:val="24"/>
                <w:szCs w:val="24"/>
                <w:shd w:val="clear" w:color="auto" w:fill="FFFFFF"/>
              </w:rPr>
            </w:pPr>
            <w:r w:rsidRPr="00992CFB">
              <w:rPr>
                <w:rFonts w:ascii="Arial" w:hAnsi="Arial" w:cs="Arial"/>
                <w:sz w:val="24"/>
                <w:szCs w:val="24"/>
                <w:shd w:val="clear" w:color="auto" w:fill="FFFFFF"/>
              </w:rPr>
              <w:t xml:space="preserve">The structure in which the storage tank is located, at a minimum, provides for secondary containment of the contents of the tank, piping, and ancillary equipment, until cleanup occurs. A shop-fabricated double-walled storage tank with a mechanical or </w:t>
            </w:r>
            <w:r w:rsidRPr="00992CFB">
              <w:rPr>
                <w:rFonts w:ascii="Arial" w:hAnsi="Arial" w:cs="Arial"/>
                <w:sz w:val="24"/>
                <w:szCs w:val="24"/>
                <w:shd w:val="clear" w:color="auto" w:fill="FFFFFF"/>
              </w:rPr>
              <w:lastRenderedPageBreak/>
              <w:t xml:space="preserve">electronic device used to detect leaks in the interstitial space </w:t>
            </w:r>
            <w:r w:rsidRPr="00E55F49">
              <w:rPr>
                <w:rFonts w:ascii="Arial" w:hAnsi="Arial" w:cs="Arial"/>
                <w:color w:val="ED0000"/>
                <w:sz w:val="24"/>
                <w:szCs w:val="24"/>
                <w:u w:val="single"/>
                <w:shd w:val="clear" w:color="auto" w:fill="FFFFFF"/>
              </w:rPr>
              <w:t>or if inspections of the interstitial space or containment structure are performed</w:t>
            </w:r>
            <w:r w:rsidRPr="00E55F49">
              <w:rPr>
                <w:rFonts w:ascii="Arial" w:hAnsi="Arial" w:cs="Arial"/>
                <w:color w:val="ED0000"/>
                <w:sz w:val="24"/>
                <w:szCs w:val="24"/>
                <w:shd w:val="clear" w:color="auto" w:fill="FFFFFF"/>
              </w:rPr>
              <w:t xml:space="preserve"> </w:t>
            </w:r>
            <w:r w:rsidRPr="00992CFB">
              <w:rPr>
                <w:rFonts w:ascii="Arial" w:hAnsi="Arial" w:cs="Arial"/>
                <w:sz w:val="24"/>
                <w:szCs w:val="24"/>
                <w:shd w:val="clear" w:color="auto" w:fill="FFFFFF"/>
              </w:rPr>
              <w:t>meets the requirement for secondary containment</w:t>
            </w:r>
            <w:r w:rsidRPr="00C33967">
              <w:rPr>
                <w:rFonts w:ascii="Arial" w:hAnsi="Arial" w:cs="Arial"/>
                <w:strike/>
                <w:color w:val="ED0000"/>
                <w:sz w:val="24"/>
                <w:szCs w:val="24"/>
                <w:shd w:val="clear" w:color="auto" w:fill="FFFFFF"/>
              </w:rPr>
              <w:t xml:space="preserve"> of the contents of the tank</w:t>
            </w:r>
            <w:r w:rsidRPr="00992CFB">
              <w:rPr>
                <w:rFonts w:ascii="Arial" w:hAnsi="Arial" w:cs="Arial"/>
                <w:sz w:val="24"/>
                <w:szCs w:val="24"/>
                <w:shd w:val="clear" w:color="auto" w:fill="FFFFFF"/>
              </w:rPr>
              <w:t>.</w:t>
            </w:r>
          </w:p>
          <w:p w14:paraId="608CD6CC" w14:textId="77777777" w:rsidR="00394105" w:rsidRDefault="00394105">
            <w:pPr>
              <w:rPr>
                <w:rFonts w:ascii="Arial" w:hAnsi="Arial" w:cs="Arial"/>
                <w:sz w:val="24"/>
                <w:szCs w:val="24"/>
                <w:shd w:val="clear" w:color="auto" w:fill="FFFFFF"/>
              </w:rPr>
            </w:pPr>
          </w:p>
          <w:p w14:paraId="49C2FA3C" w14:textId="77777777" w:rsidR="00394105" w:rsidRDefault="00394105">
            <w:pPr>
              <w:rPr>
                <w:rFonts w:ascii="Arial" w:hAnsi="Arial" w:cs="Arial"/>
                <w:sz w:val="24"/>
                <w:szCs w:val="24"/>
                <w:shd w:val="clear" w:color="auto" w:fill="FFFFFF"/>
              </w:rPr>
            </w:pPr>
            <w:r>
              <w:rPr>
                <w:rFonts w:ascii="Arial" w:hAnsi="Arial" w:cs="Arial"/>
                <w:sz w:val="24"/>
                <w:szCs w:val="24"/>
                <w:shd w:val="clear" w:color="auto" w:fill="FFFFFF"/>
              </w:rPr>
              <w:t xml:space="preserve">Or </w:t>
            </w:r>
          </w:p>
          <w:p w14:paraId="57C18E39" w14:textId="2BE79218" w:rsidR="002C71BB" w:rsidRDefault="002C71BB" w:rsidP="00394105">
            <w:pPr>
              <w:rPr>
                <w:rFonts w:ascii="Arial" w:hAnsi="Arial" w:cs="Arial"/>
                <w:sz w:val="24"/>
                <w:szCs w:val="24"/>
                <w:shd w:val="clear" w:color="auto" w:fill="FFFFFF"/>
              </w:rPr>
            </w:pPr>
          </w:p>
          <w:p w14:paraId="3473D864" w14:textId="4C96FF00" w:rsidR="002C71BB" w:rsidRPr="00C33967" w:rsidRDefault="002C71BB" w:rsidP="00394105">
            <w:pPr>
              <w:rPr>
                <w:rFonts w:ascii="Arial" w:hAnsi="Arial" w:cs="Arial"/>
                <w:strike/>
                <w:color w:val="ED0000"/>
                <w:sz w:val="24"/>
                <w:szCs w:val="24"/>
                <w:shd w:val="clear" w:color="auto" w:fill="FFFFFF"/>
              </w:rPr>
            </w:pPr>
            <w:r w:rsidRPr="002C71BB">
              <w:rPr>
                <w:rFonts w:ascii="Arial" w:hAnsi="Arial" w:cs="Arial"/>
                <w:sz w:val="24"/>
                <w:szCs w:val="24"/>
                <w:shd w:val="clear" w:color="auto" w:fill="FFFFFF"/>
              </w:rPr>
              <w:t xml:space="preserve">The structure in which the storage tank is located, at a minimum, provides for secondary containment of the contents of the tank, piping, and ancillary equipment, until cleanup occurs. </w:t>
            </w:r>
            <w:r w:rsidRPr="00C33967">
              <w:rPr>
                <w:rFonts w:ascii="Arial" w:hAnsi="Arial" w:cs="Arial"/>
                <w:strike/>
                <w:color w:val="ED0000"/>
                <w:sz w:val="24"/>
                <w:szCs w:val="24"/>
                <w:shd w:val="clear" w:color="auto" w:fill="FFFFFF"/>
              </w:rPr>
              <w:t>A shop-fabricated double-walled storage tank with a mechanical or electronic device used to detect leaks in the interstitial space meets the requirement for secondary containment of the contents of the tank.</w:t>
            </w:r>
          </w:p>
          <w:p w14:paraId="5E1DCEDB" w14:textId="71AE0DE7" w:rsidR="00394105" w:rsidRPr="00E55F49" w:rsidRDefault="00394105">
            <w:pPr>
              <w:rPr>
                <w:rFonts w:ascii="Arial" w:hAnsi="Arial" w:cs="Arial"/>
                <w:sz w:val="24"/>
                <w:szCs w:val="24"/>
              </w:rPr>
            </w:pPr>
          </w:p>
        </w:tc>
        <w:tc>
          <w:tcPr>
            <w:tcW w:w="5040" w:type="dxa"/>
          </w:tcPr>
          <w:p w14:paraId="67230640" w14:textId="7C2E16F3" w:rsidR="003E6A3C" w:rsidRPr="00E55F49" w:rsidRDefault="00F747E4" w:rsidP="003E6A3C">
            <w:pPr>
              <w:pStyle w:val="ListParagraph"/>
              <w:numPr>
                <w:ilvl w:val="0"/>
                <w:numId w:val="4"/>
              </w:numPr>
              <w:ind w:left="144" w:hanging="144"/>
              <w:rPr>
                <w:rFonts w:ascii="Arial" w:hAnsi="Arial" w:cs="Arial"/>
                <w:sz w:val="24"/>
                <w:szCs w:val="24"/>
              </w:rPr>
            </w:pPr>
            <w:r w:rsidRPr="00E55F49">
              <w:rPr>
                <w:rFonts w:ascii="Arial" w:hAnsi="Arial" w:cs="Arial"/>
                <w:sz w:val="24"/>
                <w:szCs w:val="24"/>
              </w:rPr>
              <w:lastRenderedPageBreak/>
              <w:t>For consistency with 25270.2(o)(2)</w:t>
            </w:r>
          </w:p>
          <w:p w14:paraId="1F5E1C15" w14:textId="6BF6977C" w:rsidR="00F747E4" w:rsidRPr="00E55F49" w:rsidRDefault="00B458F8" w:rsidP="003E6A3C">
            <w:pPr>
              <w:pStyle w:val="ListParagraph"/>
              <w:numPr>
                <w:ilvl w:val="0"/>
                <w:numId w:val="4"/>
              </w:numPr>
              <w:ind w:left="144" w:hanging="144"/>
              <w:rPr>
                <w:rFonts w:ascii="Arial" w:hAnsi="Arial" w:cs="Arial"/>
                <w:sz w:val="24"/>
                <w:szCs w:val="24"/>
              </w:rPr>
            </w:pPr>
            <w:r>
              <w:rPr>
                <w:rFonts w:ascii="Arial" w:hAnsi="Arial" w:cs="Arial"/>
                <w:sz w:val="24"/>
                <w:szCs w:val="24"/>
              </w:rPr>
              <w:t xml:space="preserve">This subdivision is about secondary containment. </w:t>
            </w:r>
          </w:p>
          <w:p w14:paraId="654E8331" w14:textId="4377CED3" w:rsidR="6105BF7D" w:rsidRDefault="6105BF7D" w:rsidP="13ECA5D9">
            <w:pPr>
              <w:pStyle w:val="ListParagraph"/>
              <w:numPr>
                <w:ilvl w:val="0"/>
                <w:numId w:val="4"/>
              </w:numPr>
              <w:ind w:left="144" w:hanging="144"/>
              <w:rPr>
                <w:rFonts w:ascii="Arial" w:hAnsi="Arial" w:cs="Arial"/>
                <w:sz w:val="24"/>
                <w:szCs w:val="24"/>
              </w:rPr>
            </w:pPr>
            <w:r w:rsidRPr="00E55F49">
              <w:rPr>
                <w:rFonts w:ascii="Arial" w:hAnsi="Arial" w:cs="Arial"/>
                <w:sz w:val="24"/>
                <w:szCs w:val="24"/>
              </w:rPr>
              <w:lastRenderedPageBreak/>
              <w:t>Jennifer</w:t>
            </w:r>
            <w:r w:rsidR="006C2E69">
              <w:rPr>
                <w:rFonts w:ascii="Arial" w:hAnsi="Arial" w:cs="Arial"/>
                <w:sz w:val="24"/>
                <w:szCs w:val="24"/>
              </w:rPr>
              <w:t xml:space="preserve"> Lorenzo</w:t>
            </w:r>
            <w:r w:rsidRPr="00E55F49">
              <w:rPr>
                <w:rFonts w:ascii="Arial" w:hAnsi="Arial" w:cs="Arial"/>
                <w:sz w:val="24"/>
                <w:szCs w:val="24"/>
              </w:rPr>
              <w:t xml:space="preserve"> disagrees with removing </w:t>
            </w:r>
            <w:proofErr w:type="gramStart"/>
            <w:r w:rsidRPr="00E55F49">
              <w:rPr>
                <w:rFonts w:ascii="Arial" w:hAnsi="Arial" w:cs="Arial"/>
                <w:sz w:val="24"/>
                <w:szCs w:val="24"/>
              </w:rPr>
              <w:t>last</w:t>
            </w:r>
            <w:proofErr w:type="gramEnd"/>
            <w:r w:rsidRPr="00E55F49">
              <w:rPr>
                <w:rFonts w:ascii="Arial" w:hAnsi="Arial" w:cs="Arial"/>
                <w:sz w:val="24"/>
                <w:szCs w:val="24"/>
              </w:rPr>
              <w:t xml:space="preserve"> </w:t>
            </w:r>
            <w:r w:rsidR="002F0CED">
              <w:rPr>
                <w:rFonts w:ascii="Arial" w:hAnsi="Arial" w:cs="Arial"/>
                <w:sz w:val="24"/>
                <w:szCs w:val="24"/>
              </w:rPr>
              <w:t>6</w:t>
            </w:r>
            <w:r w:rsidRPr="00E55F49">
              <w:rPr>
                <w:rFonts w:ascii="Arial" w:hAnsi="Arial" w:cs="Arial"/>
                <w:sz w:val="24"/>
                <w:szCs w:val="24"/>
              </w:rPr>
              <w:t xml:space="preserve"> words of </w:t>
            </w:r>
            <w:proofErr w:type="gramStart"/>
            <w:r w:rsidR="002F0CED">
              <w:rPr>
                <w:rFonts w:ascii="Arial" w:hAnsi="Arial" w:cs="Arial"/>
                <w:sz w:val="24"/>
                <w:szCs w:val="24"/>
              </w:rPr>
              <w:t>second</w:t>
            </w:r>
            <w:proofErr w:type="gramEnd"/>
            <w:r w:rsidRPr="00E55F49">
              <w:rPr>
                <w:rFonts w:ascii="Arial" w:hAnsi="Arial" w:cs="Arial"/>
                <w:sz w:val="24"/>
                <w:szCs w:val="24"/>
              </w:rPr>
              <w:t xml:space="preserve"> sentence, since </w:t>
            </w:r>
            <w:proofErr w:type="gramStart"/>
            <w:r w:rsidRPr="00E55F49">
              <w:rPr>
                <w:rFonts w:ascii="Arial" w:hAnsi="Arial" w:cs="Arial"/>
                <w:sz w:val="24"/>
                <w:szCs w:val="24"/>
              </w:rPr>
              <w:t>first</w:t>
            </w:r>
            <w:proofErr w:type="gramEnd"/>
            <w:r w:rsidRPr="00E55F49">
              <w:rPr>
                <w:rFonts w:ascii="Arial" w:hAnsi="Arial" w:cs="Arial"/>
                <w:sz w:val="24"/>
                <w:szCs w:val="24"/>
              </w:rPr>
              <w:t xml:space="preserve"> sentence implies general containment for tank, piping and ancillary equipment</w:t>
            </w:r>
            <w:r w:rsidR="7A9CF425" w:rsidRPr="00E55F49">
              <w:rPr>
                <w:rFonts w:ascii="Arial" w:hAnsi="Arial" w:cs="Arial"/>
                <w:sz w:val="24"/>
                <w:szCs w:val="24"/>
              </w:rPr>
              <w:t xml:space="preserve">. </w:t>
            </w:r>
            <w:r w:rsidR="00AA61B5">
              <w:rPr>
                <w:rFonts w:ascii="Arial" w:hAnsi="Arial" w:cs="Arial"/>
                <w:sz w:val="24"/>
                <w:szCs w:val="24"/>
              </w:rPr>
              <w:t>This subdivision should be relevant only to secondary</w:t>
            </w:r>
            <w:r w:rsidR="3052DCE5" w:rsidRPr="00E55F49">
              <w:rPr>
                <w:rFonts w:ascii="Arial" w:hAnsi="Arial" w:cs="Arial"/>
                <w:sz w:val="24"/>
                <w:szCs w:val="24"/>
              </w:rPr>
              <w:t xml:space="preserve"> containment. </w:t>
            </w:r>
            <w:r w:rsidR="00E26C7D">
              <w:rPr>
                <w:rFonts w:ascii="Arial" w:hAnsi="Arial" w:cs="Arial"/>
                <w:sz w:val="24"/>
                <w:szCs w:val="24"/>
              </w:rPr>
              <w:t>In favor of removing the second sentence</w:t>
            </w:r>
            <w:r w:rsidR="00E33340">
              <w:rPr>
                <w:rFonts w:ascii="Arial" w:hAnsi="Arial" w:cs="Arial"/>
                <w:sz w:val="24"/>
                <w:szCs w:val="24"/>
              </w:rPr>
              <w:t xml:space="preserve"> since </w:t>
            </w:r>
            <w:r w:rsidR="00355F8B">
              <w:rPr>
                <w:rFonts w:ascii="Arial" w:hAnsi="Arial" w:cs="Arial"/>
                <w:sz w:val="24"/>
                <w:szCs w:val="24"/>
              </w:rPr>
              <w:t>TIUGAs</w:t>
            </w:r>
            <w:r w:rsidR="00E33340">
              <w:rPr>
                <w:rFonts w:ascii="Arial" w:hAnsi="Arial" w:cs="Arial"/>
                <w:sz w:val="24"/>
                <w:szCs w:val="24"/>
              </w:rPr>
              <w:t xml:space="preserve"> are required to meet the direct viewing provisions in 25270.2(o)(2) anyway</w:t>
            </w:r>
            <w:r w:rsidR="00EF1FC2">
              <w:rPr>
                <w:rFonts w:ascii="Arial" w:hAnsi="Arial" w:cs="Arial"/>
                <w:sz w:val="24"/>
                <w:szCs w:val="24"/>
              </w:rPr>
              <w:t>;</w:t>
            </w:r>
            <w:r w:rsidR="0083355D">
              <w:rPr>
                <w:rFonts w:ascii="Arial" w:hAnsi="Arial" w:cs="Arial"/>
                <w:sz w:val="24"/>
                <w:szCs w:val="24"/>
              </w:rPr>
              <w:t xml:space="preserve"> not explicitly mentioned for hazardous waste category TIUGAs</w:t>
            </w:r>
            <w:r w:rsidR="00EF1FC2">
              <w:rPr>
                <w:rFonts w:ascii="Arial" w:hAnsi="Arial" w:cs="Arial"/>
                <w:sz w:val="24"/>
                <w:szCs w:val="24"/>
              </w:rPr>
              <w:t xml:space="preserve"> since these are required to have secondary containment under hazardous waste requirements</w:t>
            </w:r>
            <w:r w:rsidR="00E33340">
              <w:rPr>
                <w:rFonts w:ascii="Arial" w:hAnsi="Arial" w:cs="Arial"/>
                <w:sz w:val="24"/>
                <w:szCs w:val="24"/>
              </w:rPr>
              <w:t>.</w:t>
            </w:r>
          </w:p>
          <w:p w14:paraId="3321C668" w14:textId="4D2C4AED" w:rsidR="00974CBD" w:rsidRPr="00E55F49" w:rsidRDefault="00974CBD" w:rsidP="00161978">
            <w:pPr>
              <w:pStyle w:val="ListParagraph"/>
              <w:numPr>
                <w:ilvl w:val="0"/>
                <w:numId w:val="4"/>
              </w:numPr>
              <w:ind w:left="144" w:hanging="144"/>
              <w:rPr>
                <w:rFonts w:ascii="Arial" w:hAnsi="Arial" w:cs="Arial"/>
                <w:sz w:val="24"/>
                <w:szCs w:val="24"/>
              </w:rPr>
            </w:pPr>
            <w:r>
              <w:rPr>
                <w:rFonts w:ascii="Arial" w:hAnsi="Arial" w:cs="Arial"/>
                <w:sz w:val="24"/>
                <w:szCs w:val="24"/>
              </w:rPr>
              <w:t>Andy</w:t>
            </w:r>
            <w:r w:rsidR="006C2E69">
              <w:rPr>
                <w:rFonts w:ascii="Arial" w:hAnsi="Arial" w:cs="Arial"/>
                <w:sz w:val="24"/>
                <w:szCs w:val="24"/>
              </w:rPr>
              <w:t xml:space="preserve"> Dye</w:t>
            </w:r>
            <w:r>
              <w:rPr>
                <w:rFonts w:ascii="Arial" w:hAnsi="Arial" w:cs="Arial"/>
                <w:sz w:val="24"/>
                <w:szCs w:val="24"/>
              </w:rPr>
              <w:t xml:space="preserve">: </w:t>
            </w:r>
            <w:r w:rsidRPr="00974CBD">
              <w:rPr>
                <w:rFonts w:ascii="Arial" w:hAnsi="Arial" w:cs="Arial"/>
                <w:sz w:val="24"/>
                <w:szCs w:val="24"/>
              </w:rPr>
              <w:t xml:space="preserve">The UST rewrite includes reference to 25270.2(o). We should keep that in mind with any changes to that section. We may want to involve </w:t>
            </w:r>
            <w:r w:rsidR="004E25E9">
              <w:rPr>
                <w:rFonts w:ascii="Arial" w:hAnsi="Arial" w:cs="Arial"/>
                <w:sz w:val="24"/>
                <w:szCs w:val="24"/>
              </w:rPr>
              <w:t xml:space="preserve">the </w:t>
            </w:r>
            <w:r w:rsidR="006937E9">
              <w:rPr>
                <w:rFonts w:ascii="Arial" w:hAnsi="Arial" w:cs="Arial"/>
                <w:sz w:val="24"/>
                <w:szCs w:val="24"/>
              </w:rPr>
              <w:t xml:space="preserve">State </w:t>
            </w:r>
            <w:r w:rsidRPr="00974CBD">
              <w:rPr>
                <w:rFonts w:ascii="Arial" w:hAnsi="Arial" w:cs="Arial"/>
                <w:sz w:val="24"/>
                <w:szCs w:val="24"/>
              </w:rPr>
              <w:t>Water</w:t>
            </w:r>
            <w:r w:rsidR="006937E9">
              <w:rPr>
                <w:rFonts w:ascii="Arial" w:hAnsi="Arial" w:cs="Arial"/>
                <w:sz w:val="24"/>
                <w:szCs w:val="24"/>
              </w:rPr>
              <w:t xml:space="preserve"> B</w:t>
            </w:r>
            <w:r w:rsidRPr="00974CBD">
              <w:rPr>
                <w:rFonts w:ascii="Arial" w:hAnsi="Arial" w:cs="Arial"/>
                <w:sz w:val="24"/>
                <w:szCs w:val="24"/>
              </w:rPr>
              <w:t>oard staff in conversations about changes we intend to make.</w:t>
            </w:r>
          </w:p>
          <w:p w14:paraId="38959973" w14:textId="77777777" w:rsidR="007416A8" w:rsidRPr="00E55F49" w:rsidRDefault="007416A8">
            <w:pPr>
              <w:rPr>
                <w:rFonts w:ascii="Arial" w:hAnsi="Arial" w:cs="Arial"/>
                <w:sz w:val="24"/>
                <w:szCs w:val="24"/>
              </w:rPr>
            </w:pPr>
          </w:p>
        </w:tc>
      </w:tr>
      <w:tr w:rsidR="000A52B7" w:rsidRPr="000A5FA5" w14:paraId="361C4566" w14:textId="77777777" w:rsidTr="00BA3921">
        <w:tc>
          <w:tcPr>
            <w:tcW w:w="2324" w:type="dxa"/>
          </w:tcPr>
          <w:p w14:paraId="494AF986" w14:textId="77777777" w:rsidR="00D74020" w:rsidRPr="00277BB8" w:rsidRDefault="00D74020" w:rsidP="00277BB8">
            <w:pPr>
              <w:rPr>
                <w:rFonts w:ascii="Arial" w:hAnsi="Arial" w:cs="Arial"/>
                <w:sz w:val="24"/>
                <w:szCs w:val="24"/>
              </w:rPr>
            </w:pPr>
            <w:r w:rsidRPr="00277BB8">
              <w:rPr>
                <w:rFonts w:ascii="Arial" w:hAnsi="Arial" w:cs="Arial"/>
                <w:sz w:val="24"/>
                <w:szCs w:val="24"/>
              </w:rPr>
              <w:lastRenderedPageBreak/>
              <w:t>25270.2(o)(1)(C)(iii)</w:t>
            </w:r>
          </w:p>
        </w:tc>
        <w:tc>
          <w:tcPr>
            <w:tcW w:w="7126" w:type="dxa"/>
          </w:tcPr>
          <w:p w14:paraId="6D911A79" w14:textId="77777777" w:rsidR="00C71D97" w:rsidRDefault="00C71D97" w:rsidP="00277BB8">
            <w:pPr>
              <w:rPr>
                <w:rFonts w:ascii="Arial" w:hAnsi="Arial" w:cs="Arial"/>
                <w:sz w:val="24"/>
                <w:szCs w:val="24"/>
              </w:rPr>
            </w:pPr>
            <w:r w:rsidRPr="00C71D97">
              <w:rPr>
                <w:rFonts w:ascii="Arial" w:hAnsi="Arial" w:cs="Arial"/>
                <w:sz w:val="24"/>
                <w:szCs w:val="24"/>
              </w:rPr>
              <w:t>The storage tank contains petroleum and is used solely in connection with a fire pump</w:t>
            </w:r>
            <w:r w:rsidRPr="00277BB8">
              <w:rPr>
                <w:rFonts w:ascii="Arial" w:hAnsi="Arial" w:cs="Arial"/>
                <w:color w:val="ED0000"/>
                <w:sz w:val="24"/>
                <w:szCs w:val="24"/>
                <w:u w:val="single"/>
              </w:rPr>
              <w:t>, steam generation pressure tank,</w:t>
            </w:r>
            <w:r w:rsidRPr="00C71D97">
              <w:rPr>
                <w:rFonts w:ascii="Arial" w:hAnsi="Arial" w:cs="Arial"/>
                <w:sz w:val="24"/>
                <w:szCs w:val="24"/>
              </w:rPr>
              <w:t xml:space="preserve"> or an emergency system, legally required standby system, or optional standby system as defined in the most recent version of the California Electrical Code (Section 700.2 of Article 700, Section 701.2 of Article 701, and Section 702.2 of Article 702, of Chapter 7 of Part 3 of Title 24 of the California Code of Regulations), is situated on or above the surface of the floor, and the structure in which the tank is located provides enough space for direct viewing of the exterior of the tank except for the part of the tank in contact with the surface of the floor.</w:t>
            </w:r>
          </w:p>
          <w:p w14:paraId="5C5375BA" w14:textId="0ABB73EC" w:rsidR="00660C11" w:rsidRPr="00277BB8" w:rsidRDefault="00660C11" w:rsidP="00277BB8">
            <w:pPr>
              <w:rPr>
                <w:rFonts w:ascii="Arial" w:hAnsi="Arial" w:cs="Arial"/>
                <w:sz w:val="24"/>
                <w:szCs w:val="24"/>
              </w:rPr>
            </w:pPr>
          </w:p>
        </w:tc>
        <w:tc>
          <w:tcPr>
            <w:tcW w:w="5040" w:type="dxa"/>
          </w:tcPr>
          <w:p w14:paraId="08D83791" w14:textId="77777777" w:rsidR="00D74020" w:rsidRPr="00277BB8" w:rsidRDefault="00D74020" w:rsidP="00277BB8">
            <w:pPr>
              <w:pStyle w:val="ListParagraph"/>
              <w:numPr>
                <w:ilvl w:val="0"/>
                <w:numId w:val="4"/>
              </w:numPr>
              <w:ind w:left="144" w:hanging="144"/>
              <w:rPr>
                <w:rFonts w:ascii="Arial" w:hAnsi="Arial" w:cs="Arial"/>
                <w:sz w:val="24"/>
                <w:szCs w:val="24"/>
              </w:rPr>
            </w:pPr>
            <w:r w:rsidRPr="00277BB8">
              <w:rPr>
                <w:rFonts w:ascii="Arial" w:hAnsi="Arial" w:cs="Arial"/>
                <w:sz w:val="24"/>
                <w:szCs w:val="24"/>
              </w:rPr>
              <w:t xml:space="preserve">Fire </w:t>
            </w:r>
            <w:proofErr w:type="gramStart"/>
            <w:r w:rsidRPr="00277BB8">
              <w:rPr>
                <w:rFonts w:ascii="Arial" w:hAnsi="Arial" w:cs="Arial"/>
                <w:sz w:val="24"/>
                <w:szCs w:val="24"/>
              </w:rPr>
              <w:t>pump</w:t>
            </w:r>
            <w:proofErr w:type="gramEnd"/>
            <w:r w:rsidRPr="00277BB8">
              <w:rPr>
                <w:rFonts w:ascii="Arial" w:hAnsi="Arial" w:cs="Arial"/>
                <w:sz w:val="24"/>
                <w:szCs w:val="24"/>
              </w:rPr>
              <w:t xml:space="preserve">, emergency </w:t>
            </w:r>
            <w:proofErr w:type="gramStart"/>
            <w:r w:rsidRPr="00277BB8">
              <w:rPr>
                <w:rFonts w:ascii="Arial" w:hAnsi="Arial" w:cs="Arial"/>
                <w:sz w:val="24"/>
                <w:szCs w:val="24"/>
              </w:rPr>
              <w:t>system</w:t>
            </w:r>
            <w:proofErr w:type="gramEnd"/>
            <w:r w:rsidRPr="00277BB8">
              <w:rPr>
                <w:rFonts w:ascii="Arial" w:hAnsi="Arial" w:cs="Arial"/>
                <w:sz w:val="24"/>
                <w:szCs w:val="24"/>
              </w:rPr>
              <w:t xml:space="preserve">, and standby </w:t>
            </w:r>
            <w:proofErr w:type="gramStart"/>
            <w:r w:rsidRPr="00277BB8">
              <w:rPr>
                <w:rFonts w:ascii="Arial" w:hAnsi="Arial" w:cs="Arial"/>
                <w:sz w:val="24"/>
                <w:szCs w:val="24"/>
              </w:rPr>
              <w:t>system</w:t>
            </w:r>
            <w:proofErr w:type="gramEnd"/>
            <w:r w:rsidRPr="00277BB8">
              <w:rPr>
                <w:rFonts w:ascii="Arial" w:hAnsi="Arial" w:cs="Arial"/>
                <w:sz w:val="24"/>
                <w:szCs w:val="24"/>
              </w:rPr>
              <w:t xml:space="preserve"> do not </w:t>
            </w:r>
            <w:proofErr w:type="gramStart"/>
            <w:r w:rsidRPr="00277BB8">
              <w:rPr>
                <w:rFonts w:ascii="Arial" w:hAnsi="Arial" w:cs="Arial"/>
                <w:sz w:val="24"/>
                <w:szCs w:val="24"/>
              </w:rPr>
              <w:t>include the boiler</w:t>
            </w:r>
            <w:proofErr w:type="gramEnd"/>
            <w:r w:rsidRPr="00277BB8">
              <w:rPr>
                <w:rFonts w:ascii="Arial" w:hAnsi="Arial" w:cs="Arial"/>
                <w:sz w:val="24"/>
                <w:szCs w:val="24"/>
              </w:rPr>
              <w:t>.</w:t>
            </w:r>
          </w:p>
          <w:p w14:paraId="69D864BB" w14:textId="77777777" w:rsidR="00D74020" w:rsidRPr="00277BB8" w:rsidRDefault="00D74020" w:rsidP="00277BB8">
            <w:pPr>
              <w:pStyle w:val="ListParagraph"/>
              <w:numPr>
                <w:ilvl w:val="0"/>
                <w:numId w:val="4"/>
              </w:numPr>
              <w:ind w:left="144" w:hanging="144"/>
              <w:rPr>
                <w:rFonts w:ascii="Arial" w:hAnsi="Arial" w:cs="Arial"/>
                <w:sz w:val="24"/>
                <w:szCs w:val="24"/>
              </w:rPr>
            </w:pPr>
            <w:r w:rsidRPr="00277BB8">
              <w:rPr>
                <w:rFonts w:ascii="Arial" w:hAnsi="Arial" w:cs="Arial"/>
                <w:sz w:val="24"/>
                <w:szCs w:val="24"/>
              </w:rPr>
              <w:t xml:space="preserve">Consistency with 25281.5(c)(3) </w:t>
            </w:r>
          </w:p>
          <w:p w14:paraId="2D9D3679" w14:textId="77777777" w:rsidR="00D74020" w:rsidRPr="00277BB8" w:rsidRDefault="00D74020" w:rsidP="00277BB8">
            <w:pPr>
              <w:pStyle w:val="ListParagraph"/>
              <w:numPr>
                <w:ilvl w:val="0"/>
                <w:numId w:val="4"/>
              </w:numPr>
              <w:ind w:left="144" w:hanging="144"/>
              <w:rPr>
                <w:rFonts w:ascii="Arial" w:hAnsi="Arial" w:cs="Arial"/>
                <w:sz w:val="24"/>
                <w:szCs w:val="24"/>
              </w:rPr>
            </w:pPr>
            <w:r w:rsidRPr="00277BB8">
              <w:rPr>
                <w:rFonts w:ascii="Arial" w:hAnsi="Arial" w:cs="Arial"/>
                <w:sz w:val="24"/>
                <w:szCs w:val="24"/>
              </w:rPr>
              <w:t>Is reference to NFPA 85 also necessary for definition of steam generation pressure tank since there is no definition in APSA?</w:t>
            </w:r>
          </w:p>
          <w:p w14:paraId="4B044981" w14:textId="77777777" w:rsidR="00D74020" w:rsidRPr="00E55F49" w:rsidRDefault="00D74020" w:rsidP="00277BB8">
            <w:pPr>
              <w:pStyle w:val="ListParagraph"/>
              <w:numPr>
                <w:ilvl w:val="0"/>
                <w:numId w:val="4"/>
              </w:numPr>
              <w:ind w:left="144" w:hanging="144"/>
            </w:pPr>
            <w:r w:rsidRPr="00277BB8">
              <w:rPr>
                <w:rFonts w:ascii="Arial" w:hAnsi="Arial" w:cs="Arial"/>
                <w:sz w:val="24"/>
                <w:szCs w:val="24"/>
              </w:rPr>
              <w:t>Andy</w:t>
            </w:r>
            <w:r w:rsidR="006C2E69">
              <w:rPr>
                <w:rFonts w:ascii="Arial" w:hAnsi="Arial" w:cs="Arial"/>
                <w:sz w:val="24"/>
                <w:szCs w:val="24"/>
              </w:rPr>
              <w:t xml:space="preserve"> Dye</w:t>
            </w:r>
            <w:r w:rsidRPr="00277BB8">
              <w:rPr>
                <w:rFonts w:ascii="Arial" w:hAnsi="Arial" w:cs="Arial"/>
                <w:sz w:val="24"/>
                <w:szCs w:val="24"/>
              </w:rPr>
              <w:t xml:space="preserve">: It has come up in discussion that at hospitals the boiler is usually integrally connected to other emergency systems, such as power generation. </w:t>
            </w:r>
          </w:p>
          <w:p w14:paraId="033F7FF3" w14:textId="572F0336" w:rsidR="007B376E" w:rsidRPr="00053C59" w:rsidRDefault="007B376E" w:rsidP="00E55F49"/>
        </w:tc>
      </w:tr>
      <w:tr w:rsidR="000A52B7" w:rsidRPr="00E00F63" w14:paraId="61BE27A5" w14:textId="77777777" w:rsidTr="00BA3921">
        <w:tc>
          <w:tcPr>
            <w:tcW w:w="2324" w:type="dxa"/>
          </w:tcPr>
          <w:p w14:paraId="59602E15" w14:textId="77777777" w:rsidR="00AB329E" w:rsidRPr="00404795" w:rsidRDefault="00AB329E" w:rsidP="00404795">
            <w:pPr>
              <w:rPr>
                <w:rFonts w:ascii="Arial" w:hAnsi="Arial" w:cs="Arial"/>
                <w:color w:val="ED0000"/>
                <w:sz w:val="24"/>
                <w:szCs w:val="24"/>
                <w:u w:val="single"/>
              </w:rPr>
            </w:pPr>
            <w:r w:rsidRPr="00404795">
              <w:rPr>
                <w:rFonts w:ascii="Arial" w:hAnsi="Arial" w:cs="Arial"/>
                <w:color w:val="ED0000"/>
                <w:sz w:val="24"/>
                <w:szCs w:val="24"/>
                <w:u w:val="single"/>
              </w:rPr>
              <w:lastRenderedPageBreak/>
              <w:t>25270.2.1</w:t>
            </w:r>
          </w:p>
        </w:tc>
        <w:tc>
          <w:tcPr>
            <w:tcW w:w="7126" w:type="dxa"/>
          </w:tcPr>
          <w:p w14:paraId="139B12CA" w14:textId="41B2D8A2" w:rsidR="00143A77" w:rsidRPr="004F3EDB" w:rsidRDefault="00143A77" w:rsidP="00143A77">
            <w:pPr>
              <w:rPr>
                <w:rFonts w:ascii="Arial" w:hAnsi="Arial" w:cs="Arial"/>
                <w:color w:val="ED0000"/>
                <w:sz w:val="24"/>
                <w:szCs w:val="24"/>
                <w:u w:val="single"/>
                <w:shd w:val="clear" w:color="auto" w:fill="FFFFFF"/>
              </w:rPr>
            </w:pPr>
            <w:r>
              <w:rPr>
                <w:rFonts w:ascii="Arial" w:hAnsi="Arial" w:cs="Arial"/>
                <w:color w:val="ED0000"/>
                <w:sz w:val="24"/>
                <w:szCs w:val="24"/>
                <w:u w:val="single"/>
                <w:shd w:val="clear" w:color="auto" w:fill="FFFFFF"/>
              </w:rPr>
              <w:t>(a) An owner or operator of a</w:t>
            </w:r>
            <w:r w:rsidRPr="004F3EDB">
              <w:rPr>
                <w:rFonts w:ascii="Arial" w:hAnsi="Arial" w:cs="Arial"/>
                <w:color w:val="ED0000"/>
                <w:sz w:val="24"/>
                <w:szCs w:val="24"/>
                <w:u w:val="single"/>
                <w:shd w:val="clear" w:color="auto" w:fill="FFFFFF"/>
              </w:rPr>
              <w:t xml:space="preserve"> stationary storage tank </w:t>
            </w:r>
            <w:r>
              <w:rPr>
                <w:rFonts w:ascii="Arial" w:hAnsi="Arial" w:cs="Arial"/>
                <w:color w:val="ED0000"/>
                <w:sz w:val="24"/>
                <w:szCs w:val="24"/>
                <w:u w:val="single"/>
                <w:shd w:val="clear" w:color="auto" w:fill="FFFFFF"/>
              </w:rPr>
              <w:t xml:space="preserve">that has the capacity to store less than 55 gallons of petroleum and </w:t>
            </w:r>
            <w:r w:rsidR="00072475">
              <w:rPr>
                <w:rFonts w:ascii="Arial" w:hAnsi="Arial" w:cs="Arial"/>
                <w:color w:val="ED0000"/>
                <w:sz w:val="24"/>
                <w:szCs w:val="24"/>
                <w:u w:val="single"/>
                <w:shd w:val="clear" w:color="auto" w:fill="FFFFFF"/>
              </w:rPr>
              <w:t xml:space="preserve">the storage tank </w:t>
            </w:r>
            <w:r>
              <w:rPr>
                <w:rFonts w:ascii="Arial" w:hAnsi="Arial" w:cs="Arial"/>
                <w:color w:val="ED0000"/>
                <w:sz w:val="24"/>
                <w:szCs w:val="24"/>
                <w:u w:val="single"/>
                <w:shd w:val="clear" w:color="auto" w:fill="FFFFFF"/>
              </w:rPr>
              <w:t xml:space="preserve">is located </w:t>
            </w:r>
            <w:r w:rsidRPr="004F3EDB">
              <w:rPr>
                <w:rFonts w:ascii="Arial" w:hAnsi="Arial" w:cs="Arial"/>
                <w:color w:val="ED0000"/>
                <w:sz w:val="24"/>
                <w:szCs w:val="24"/>
                <w:u w:val="single"/>
                <w:shd w:val="clear" w:color="auto" w:fill="FFFFFF"/>
              </w:rPr>
              <w:t>in a structure at least 10 percent below the ground surface</w:t>
            </w:r>
            <w:r>
              <w:rPr>
                <w:rFonts w:ascii="Arial" w:hAnsi="Arial" w:cs="Arial"/>
                <w:color w:val="ED0000"/>
                <w:sz w:val="24"/>
                <w:szCs w:val="24"/>
                <w:u w:val="single"/>
                <w:shd w:val="clear" w:color="auto" w:fill="FFFFFF"/>
              </w:rPr>
              <w:t xml:space="preserve"> shall not be subject to Sections 25270.4.5 and 25270.6.</w:t>
            </w:r>
          </w:p>
          <w:p w14:paraId="6D099239" w14:textId="77777777" w:rsidR="00CF22F7" w:rsidRDefault="00CF22F7" w:rsidP="004F3EDB">
            <w:pPr>
              <w:rPr>
                <w:rFonts w:ascii="Arial" w:hAnsi="Arial" w:cs="Arial"/>
                <w:color w:val="ED0000"/>
                <w:sz w:val="24"/>
                <w:szCs w:val="24"/>
                <w:u w:val="single"/>
                <w:shd w:val="clear" w:color="auto" w:fill="FFFFFF"/>
              </w:rPr>
            </w:pPr>
          </w:p>
          <w:p w14:paraId="10BCC3E3" w14:textId="28E47053" w:rsidR="00697690" w:rsidRDefault="00697690" w:rsidP="004F3EDB">
            <w:pPr>
              <w:rPr>
                <w:rFonts w:ascii="Arial" w:hAnsi="Arial" w:cs="Arial"/>
                <w:color w:val="ED0000"/>
                <w:sz w:val="24"/>
                <w:szCs w:val="24"/>
                <w:u w:val="single"/>
                <w:shd w:val="clear" w:color="auto" w:fill="FFFFFF"/>
              </w:rPr>
            </w:pPr>
            <w:r w:rsidRPr="004F3EDB">
              <w:rPr>
                <w:rFonts w:ascii="Arial" w:hAnsi="Arial" w:cs="Arial"/>
                <w:color w:val="ED0000"/>
                <w:sz w:val="24"/>
                <w:szCs w:val="24"/>
                <w:u w:val="single"/>
                <w:shd w:val="clear" w:color="auto" w:fill="FFFFFF"/>
              </w:rPr>
              <w:t>(</w:t>
            </w:r>
            <w:r w:rsidR="00BF3147">
              <w:rPr>
                <w:rFonts w:ascii="Arial" w:hAnsi="Arial" w:cs="Arial"/>
                <w:color w:val="ED0000"/>
                <w:sz w:val="24"/>
                <w:szCs w:val="24"/>
                <w:u w:val="single"/>
                <w:shd w:val="clear" w:color="auto" w:fill="FFFFFF"/>
              </w:rPr>
              <w:t>b</w:t>
            </w:r>
            <w:r w:rsidRPr="004F3EDB">
              <w:rPr>
                <w:rFonts w:ascii="Arial" w:hAnsi="Arial" w:cs="Arial"/>
                <w:color w:val="ED0000"/>
                <w:sz w:val="24"/>
                <w:szCs w:val="24"/>
                <w:u w:val="single"/>
                <w:shd w:val="clear" w:color="auto" w:fill="FFFFFF"/>
              </w:rPr>
              <w:t>) </w:t>
            </w:r>
            <w:r w:rsidR="005E6517">
              <w:rPr>
                <w:rFonts w:ascii="Arial" w:hAnsi="Arial" w:cs="Arial"/>
                <w:color w:val="ED0000"/>
                <w:sz w:val="24"/>
                <w:szCs w:val="24"/>
                <w:u w:val="single"/>
                <w:shd w:val="clear" w:color="auto" w:fill="FFFFFF"/>
              </w:rPr>
              <w:t>An</w:t>
            </w:r>
            <w:r w:rsidR="00BF3147">
              <w:rPr>
                <w:rFonts w:ascii="Arial" w:hAnsi="Arial" w:cs="Arial"/>
                <w:color w:val="ED0000"/>
                <w:sz w:val="24"/>
                <w:szCs w:val="24"/>
                <w:u w:val="single"/>
                <w:shd w:val="clear" w:color="auto" w:fill="FFFFFF"/>
              </w:rPr>
              <w:t xml:space="preserve"> owner or operator of </w:t>
            </w:r>
            <w:r w:rsidR="00001127">
              <w:rPr>
                <w:rFonts w:ascii="Arial" w:hAnsi="Arial" w:cs="Arial"/>
                <w:color w:val="ED0000"/>
                <w:sz w:val="24"/>
                <w:szCs w:val="24"/>
                <w:u w:val="single"/>
                <w:shd w:val="clear" w:color="auto" w:fill="FFFFFF"/>
              </w:rPr>
              <w:t>a</w:t>
            </w:r>
            <w:r w:rsidRPr="004F3EDB">
              <w:rPr>
                <w:rFonts w:ascii="Arial" w:hAnsi="Arial" w:cs="Arial"/>
                <w:color w:val="ED0000"/>
                <w:sz w:val="24"/>
                <w:szCs w:val="24"/>
                <w:u w:val="single"/>
                <w:shd w:val="clear" w:color="auto" w:fill="FFFFFF"/>
              </w:rPr>
              <w:t xml:space="preserve"> storage tank</w:t>
            </w:r>
            <w:r w:rsidR="00001127">
              <w:rPr>
                <w:rFonts w:ascii="Arial" w:hAnsi="Arial" w:cs="Arial"/>
                <w:color w:val="ED0000"/>
                <w:sz w:val="24"/>
                <w:szCs w:val="24"/>
                <w:u w:val="single"/>
                <w:shd w:val="clear" w:color="auto" w:fill="FFFFFF"/>
              </w:rPr>
              <w:t xml:space="preserve"> </w:t>
            </w:r>
            <w:r w:rsidR="00541103">
              <w:rPr>
                <w:rFonts w:ascii="Arial" w:hAnsi="Arial" w:cs="Arial"/>
                <w:color w:val="ED0000"/>
                <w:sz w:val="24"/>
                <w:szCs w:val="24"/>
                <w:u w:val="single"/>
                <w:shd w:val="clear" w:color="auto" w:fill="FFFFFF"/>
              </w:rPr>
              <w:t>specified</w:t>
            </w:r>
            <w:r w:rsidR="00001127">
              <w:rPr>
                <w:rFonts w:ascii="Arial" w:hAnsi="Arial" w:cs="Arial"/>
                <w:color w:val="ED0000"/>
                <w:sz w:val="24"/>
                <w:szCs w:val="24"/>
                <w:u w:val="single"/>
                <w:shd w:val="clear" w:color="auto" w:fill="FFFFFF"/>
              </w:rPr>
              <w:t xml:space="preserve"> in subdivision </w:t>
            </w:r>
            <w:r w:rsidR="002A6814">
              <w:rPr>
                <w:rFonts w:ascii="Arial" w:hAnsi="Arial" w:cs="Arial"/>
                <w:color w:val="ED0000"/>
                <w:sz w:val="24"/>
                <w:szCs w:val="24"/>
                <w:u w:val="single"/>
                <w:shd w:val="clear" w:color="auto" w:fill="FFFFFF"/>
              </w:rPr>
              <w:t>(a)</w:t>
            </w:r>
            <w:r w:rsidR="00820BCC">
              <w:rPr>
                <w:rFonts w:ascii="Arial" w:hAnsi="Arial" w:cs="Arial"/>
                <w:color w:val="ED0000"/>
                <w:sz w:val="24"/>
                <w:szCs w:val="24"/>
                <w:u w:val="single"/>
                <w:shd w:val="clear" w:color="auto" w:fill="FFFFFF"/>
              </w:rPr>
              <w:t xml:space="preserve"> </w:t>
            </w:r>
            <w:r w:rsidR="002A6814">
              <w:rPr>
                <w:rFonts w:ascii="Arial" w:hAnsi="Arial" w:cs="Arial"/>
                <w:color w:val="ED0000"/>
                <w:sz w:val="24"/>
                <w:szCs w:val="24"/>
                <w:u w:val="single"/>
                <w:shd w:val="clear" w:color="auto" w:fill="FFFFFF"/>
              </w:rPr>
              <w:t xml:space="preserve">shall </w:t>
            </w:r>
            <w:r w:rsidR="00B84BB4">
              <w:rPr>
                <w:rFonts w:ascii="Arial" w:hAnsi="Arial" w:cs="Arial"/>
                <w:color w:val="ED0000"/>
                <w:sz w:val="24"/>
                <w:szCs w:val="24"/>
                <w:u w:val="single"/>
                <w:shd w:val="clear" w:color="auto" w:fill="FFFFFF"/>
              </w:rPr>
              <w:t>take the following actions</w:t>
            </w:r>
            <w:r w:rsidR="00460296">
              <w:rPr>
                <w:rFonts w:ascii="Arial" w:hAnsi="Arial" w:cs="Arial"/>
                <w:color w:val="ED0000"/>
                <w:sz w:val="24"/>
                <w:szCs w:val="24"/>
                <w:u w:val="single"/>
                <w:shd w:val="clear" w:color="auto" w:fill="FFFFFF"/>
              </w:rPr>
              <w:t>.</w:t>
            </w:r>
          </w:p>
          <w:p w14:paraId="61094177" w14:textId="77777777" w:rsidR="00FC5F33" w:rsidRDefault="00FC5F33" w:rsidP="00FC5F33">
            <w:pPr>
              <w:rPr>
                <w:rFonts w:ascii="Arial" w:hAnsi="Arial" w:cs="Arial"/>
                <w:color w:val="ED0000"/>
                <w:sz w:val="24"/>
                <w:szCs w:val="24"/>
                <w:u w:val="single"/>
                <w:shd w:val="clear" w:color="auto" w:fill="FFFFFF"/>
              </w:rPr>
            </w:pPr>
            <w:r>
              <w:rPr>
                <w:rFonts w:ascii="Arial" w:hAnsi="Arial" w:cs="Arial"/>
                <w:color w:val="ED0000"/>
                <w:sz w:val="24"/>
                <w:szCs w:val="24"/>
                <w:u w:val="single"/>
                <w:shd w:val="clear" w:color="auto" w:fill="FFFFFF"/>
              </w:rPr>
              <w:t xml:space="preserve">(1) At minimum, provide for </w:t>
            </w:r>
            <w:r w:rsidRPr="00404795">
              <w:rPr>
                <w:rFonts w:ascii="Arial" w:hAnsi="Arial" w:cs="Arial"/>
                <w:color w:val="ED0000"/>
                <w:sz w:val="24"/>
                <w:szCs w:val="24"/>
                <w:u w:val="single"/>
                <w:shd w:val="clear" w:color="auto" w:fill="FFFFFF"/>
              </w:rPr>
              <w:t>secondary containment</w:t>
            </w:r>
            <w:r>
              <w:rPr>
                <w:rFonts w:ascii="Arial" w:hAnsi="Arial" w:cs="Arial"/>
                <w:color w:val="ED0000"/>
                <w:sz w:val="24"/>
                <w:szCs w:val="24"/>
                <w:u w:val="single"/>
                <w:shd w:val="clear" w:color="auto" w:fill="FFFFFF"/>
              </w:rPr>
              <w:t xml:space="preserve"> of the contents of the storage tank, piping, and ancillary equipment</w:t>
            </w:r>
            <w:r w:rsidRPr="00404795">
              <w:rPr>
                <w:rFonts w:ascii="Arial" w:hAnsi="Arial" w:cs="Arial"/>
                <w:color w:val="ED0000"/>
                <w:sz w:val="24"/>
                <w:szCs w:val="24"/>
                <w:u w:val="single"/>
                <w:shd w:val="clear" w:color="auto" w:fill="FFFFFF"/>
              </w:rPr>
              <w:t>,</w:t>
            </w:r>
            <w:r>
              <w:rPr>
                <w:rFonts w:ascii="Arial" w:hAnsi="Arial" w:cs="Arial"/>
                <w:color w:val="ED0000"/>
                <w:sz w:val="24"/>
                <w:szCs w:val="24"/>
                <w:u w:val="single"/>
                <w:shd w:val="clear" w:color="auto" w:fill="FFFFFF"/>
              </w:rPr>
              <w:t xml:space="preserve"> until cleanup occurs.</w:t>
            </w:r>
            <w:r w:rsidRPr="00404795">
              <w:rPr>
                <w:rFonts w:ascii="Arial" w:hAnsi="Arial" w:cs="Arial"/>
                <w:color w:val="ED0000"/>
                <w:sz w:val="24"/>
                <w:szCs w:val="24"/>
                <w:u w:val="single"/>
                <w:shd w:val="clear" w:color="auto" w:fill="FFFFFF"/>
              </w:rPr>
              <w:t xml:space="preserve"> </w:t>
            </w:r>
          </w:p>
          <w:p w14:paraId="579A89BC" w14:textId="07405676" w:rsidR="00411EEA" w:rsidRDefault="00411EEA" w:rsidP="00411EEA">
            <w:pPr>
              <w:rPr>
                <w:rFonts w:ascii="Arial" w:hAnsi="Arial" w:cs="Arial"/>
                <w:color w:val="ED0000"/>
                <w:sz w:val="24"/>
                <w:szCs w:val="24"/>
                <w:u w:val="single"/>
                <w:shd w:val="clear" w:color="auto" w:fill="FFFFFF"/>
              </w:rPr>
            </w:pPr>
            <w:r>
              <w:rPr>
                <w:rFonts w:ascii="Arial" w:hAnsi="Arial" w:cs="Arial"/>
                <w:color w:val="ED0000"/>
                <w:sz w:val="24"/>
                <w:szCs w:val="24"/>
                <w:u w:val="single"/>
                <w:shd w:val="clear" w:color="auto" w:fill="FFFFFF"/>
              </w:rPr>
              <w:t>(</w:t>
            </w:r>
            <w:r w:rsidR="00FC5F33">
              <w:rPr>
                <w:rFonts w:ascii="Arial" w:hAnsi="Arial" w:cs="Arial"/>
                <w:color w:val="ED0000"/>
                <w:sz w:val="24"/>
                <w:szCs w:val="24"/>
                <w:u w:val="single"/>
                <w:shd w:val="clear" w:color="auto" w:fill="FFFFFF"/>
              </w:rPr>
              <w:t>2</w:t>
            </w:r>
            <w:r>
              <w:rPr>
                <w:rFonts w:ascii="Arial" w:hAnsi="Arial" w:cs="Arial"/>
                <w:color w:val="ED0000"/>
                <w:sz w:val="24"/>
                <w:szCs w:val="24"/>
                <w:u w:val="single"/>
                <w:shd w:val="clear" w:color="auto" w:fill="FFFFFF"/>
              </w:rPr>
              <w:t xml:space="preserve">) Conduct </w:t>
            </w:r>
            <w:r w:rsidRPr="00404795">
              <w:rPr>
                <w:rFonts w:ascii="Arial" w:hAnsi="Arial" w:cs="Arial"/>
                <w:color w:val="ED0000"/>
                <w:sz w:val="24"/>
                <w:szCs w:val="24"/>
                <w:u w:val="single"/>
                <w:shd w:val="clear" w:color="auto" w:fill="FFFFFF"/>
              </w:rPr>
              <w:t>monthly</w:t>
            </w:r>
            <w:r>
              <w:rPr>
                <w:rFonts w:ascii="Arial" w:hAnsi="Arial" w:cs="Arial"/>
                <w:color w:val="ED0000"/>
                <w:sz w:val="24"/>
                <w:szCs w:val="24"/>
                <w:u w:val="single"/>
                <w:shd w:val="clear" w:color="auto" w:fill="FFFFFF"/>
              </w:rPr>
              <w:t xml:space="preserve"> inspections</w:t>
            </w:r>
            <w:r w:rsidR="00AB1355">
              <w:rPr>
                <w:rFonts w:ascii="Arial" w:hAnsi="Arial" w:cs="Arial"/>
                <w:color w:val="ED0000"/>
                <w:sz w:val="24"/>
                <w:szCs w:val="24"/>
                <w:u w:val="single"/>
                <w:shd w:val="clear" w:color="auto" w:fill="FFFFFF"/>
              </w:rPr>
              <w:t xml:space="preserve"> of the storage tank</w:t>
            </w:r>
            <w:r w:rsidR="00164BCA">
              <w:rPr>
                <w:rFonts w:ascii="Arial" w:hAnsi="Arial" w:cs="Arial"/>
                <w:color w:val="ED0000"/>
                <w:sz w:val="24"/>
                <w:szCs w:val="24"/>
                <w:u w:val="single"/>
                <w:shd w:val="clear" w:color="auto" w:fill="FFFFFF"/>
              </w:rPr>
              <w:t>, piping, and ancillary equipment</w:t>
            </w:r>
            <w:r>
              <w:rPr>
                <w:rFonts w:ascii="Arial" w:hAnsi="Arial" w:cs="Arial"/>
                <w:color w:val="ED0000"/>
                <w:sz w:val="24"/>
                <w:szCs w:val="24"/>
                <w:u w:val="single"/>
                <w:shd w:val="clear" w:color="auto" w:fill="FFFFFF"/>
              </w:rPr>
              <w:t>.</w:t>
            </w:r>
          </w:p>
          <w:p w14:paraId="5EA2D8D9" w14:textId="018F091E" w:rsidR="00411EEA" w:rsidRDefault="00411EEA" w:rsidP="00411EEA">
            <w:pPr>
              <w:rPr>
                <w:rFonts w:ascii="Arial" w:hAnsi="Arial" w:cs="Arial"/>
                <w:color w:val="ED0000"/>
                <w:sz w:val="24"/>
                <w:szCs w:val="24"/>
                <w:u w:val="single"/>
                <w:shd w:val="clear" w:color="auto" w:fill="FFFFFF"/>
              </w:rPr>
            </w:pPr>
            <w:r>
              <w:rPr>
                <w:rFonts w:ascii="Arial" w:hAnsi="Arial" w:cs="Arial"/>
                <w:color w:val="ED0000"/>
                <w:sz w:val="24"/>
                <w:szCs w:val="24"/>
                <w:u w:val="single"/>
                <w:shd w:val="clear" w:color="auto" w:fill="FFFFFF"/>
              </w:rPr>
              <w:t>(</w:t>
            </w:r>
            <w:r w:rsidR="00FC5F33">
              <w:rPr>
                <w:rFonts w:ascii="Arial" w:hAnsi="Arial" w:cs="Arial"/>
                <w:color w:val="ED0000"/>
                <w:sz w:val="24"/>
                <w:szCs w:val="24"/>
                <w:u w:val="single"/>
                <w:shd w:val="clear" w:color="auto" w:fill="FFFFFF"/>
              </w:rPr>
              <w:t>3</w:t>
            </w:r>
            <w:r>
              <w:rPr>
                <w:rFonts w:ascii="Arial" w:hAnsi="Arial" w:cs="Arial"/>
                <w:color w:val="ED0000"/>
                <w:sz w:val="24"/>
                <w:szCs w:val="24"/>
                <w:u w:val="single"/>
                <w:shd w:val="clear" w:color="auto" w:fill="FFFFFF"/>
              </w:rPr>
              <w:t>) M</w:t>
            </w:r>
            <w:r w:rsidRPr="00404795">
              <w:rPr>
                <w:rFonts w:ascii="Arial" w:hAnsi="Arial" w:cs="Arial"/>
                <w:color w:val="ED0000"/>
                <w:sz w:val="24"/>
                <w:szCs w:val="24"/>
                <w:u w:val="single"/>
                <w:shd w:val="clear" w:color="auto" w:fill="FFFFFF"/>
              </w:rPr>
              <w:t xml:space="preserve">aintain a log of inspection records </w:t>
            </w:r>
            <w:r>
              <w:rPr>
                <w:rFonts w:ascii="Arial" w:hAnsi="Arial" w:cs="Arial"/>
                <w:color w:val="ED0000"/>
                <w:sz w:val="24"/>
                <w:szCs w:val="24"/>
                <w:u w:val="single"/>
                <w:shd w:val="clear" w:color="auto" w:fill="FFFFFF"/>
              </w:rPr>
              <w:t>that shall be available for</w:t>
            </w:r>
            <w:r w:rsidRPr="00404795">
              <w:rPr>
                <w:rFonts w:ascii="Arial" w:hAnsi="Arial" w:cs="Arial"/>
                <w:color w:val="ED0000"/>
                <w:sz w:val="24"/>
                <w:szCs w:val="24"/>
                <w:u w:val="single"/>
                <w:shd w:val="clear" w:color="auto" w:fill="FFFFFF"/>
              </w:rPr>
              <w:t xml:space="preserve"> review by the unified program agency upon request.</w:t>
            </w:r>
          </w:p>
          <w:p w14:paraId="689ACB27" w14:textId="77777777" w:rsidR="00AB329E" w:rsidRPr="00404795" w:rsidRDefault="00AB329E" w:rsidP="00231BCE">
            <w:pPr>
              <w:rPr>
                <w:rFonts w:ascii="Arial" w:hAnsi="Arial" w:cs="Arial"/>
                <w:sz w:val="24"/>
                <w:szCs w:val="24"/>
                <w:u w:val="single"/>
                <w:shd w:val="clear" w:color="auto" w:fill="FFFFFF"/>
              </w:rPr>
            </w:pPr>
          </w:p>
        </w:tc>
        <w:tc>
          <w:tcPr>
            <w:tcW w:w="5040" w:type="dxa"/>
          </w:tcPr>
          <w:p w14:paraId="79360F1D" w14:textId="3BE28443" w:rsidR="00B17D82" w:rsidRDefault="00B17D82" w:rsidP="00404795">
            <w:pPr>
              <w:pStyle w:val="ListParagraph"/>
              <w:numPr>
                <w:ilvl w:val="0"/>
                <w:numId w:val="4"/>
              </w:numPr>
              <w:ind w:left="144" w:hanging="144"/>
              <w:rPr>
                <w:rFonts w:ascii="Arial" w:hAnsi="Arial" w:cs="Arial"/>
                <w:sz w:val="24"/>
                <w:szCs w:val="24"/>
              </w:rPr>
            </w:pPr>
            <w:r>
              <w:rPr>
                <w:rFonts w:ascii="Arial" w:hAnsi="Arial" w:cs="Arial"/>
                <w:sz w:val="24"/>
                <w:szCs w:val="24"/>
              </w:rPr>
              <w:t>If keeping this</w:t>
            </w:r>
            <w:r w:rsidR="00F07B5E">
              <w:rPr>
                <w:rFonts w:ascii="Arial" w:hAnsi="Arial" w:cs="Arial"/>
                <w:sz w:val="24"/>
                <w:szCs w:val="24"/>
              </w:rPr>
              <w:t xml:space="preserve"> proposal</w:t>
            </w:r>
            <w:r>
              <w:rPr>
                <w:rFonts w:ascii="Arial" w:hAnsi="Arial" w:cs="Arial"/>
                <w:sz w:val="24"/>
                <w:szCs w:val="24"/>
              </w:rPr>
              <w:t>, need to remove 25270.2(a)(8).</w:t>
            </w:r>
          </w:p>
          <w:p w14:paraId="15709713" w14:textId="148E761C" w:rsidR="00AB329E" w:rsidRDefault="00AB329E" w:rsidP="00404795">
            <w:pPr>
              <w:pStyle w:val="ListParagraph"/>
              <w:numPr>
                <w:ilvl w:val="0"/>
                <w:numId w:val="4"/>
              </w:numPr>
              <w:ind w:left="144" w:hanging="144"/>
              <w:rPr>
                <w:rFonts w:ascii="Arial" w:hAnsi="Arial" w:cs="Arial"/>
                <w:sz w:val="24"/>
                <w:szCs w:val="24"/>
              </w:rPr>
            </w:pPr>
            <w:r>
              <w:rPr>
                <w:rFonts w:ascii="Arial" w:hAnsi="Arial" w:cs="Arial"/>
                <w:sz w:val="24"/>
                <w:szCs w:val="24"/>
              </w:rPr>
              <w:t>AST definition has 55</w:t>
            </w:r>
            <w:r w:rsidR="00977E8A">
              <w:rPr>
                <w:rFonts w:ascii="Arial" w:hAnsi="Arial" w:cs="Arial"/>
                <w:sz w:val="24"/>
                <w:szCs w:val="24"/>
              </w:rPr>
              <w:t>-</w:t>
            </w:r>
            <w:r>
              <w:rPr>
                <w:rFonts w:ascii="Arial" w:hAnsi="Arial" w:cs="Arial"/>
                <w:sz w:val="24"/>
                <w:szCs w:val="24"/>
              </w:rPr>
              <w:t>gallon or larger threshold, but a tiny TIUGA is already less than 55 gallons. This is a conflict.</w:t>
            </w:r>
          </w:p>
          <w:p w14:paraId="1B6069B4" w14:textId="77777777" w:rsidR="00AB329E" w:rsidRDefault="00AB329E" w:rsidP="00404795">
            <w:pPr>
              <w:pStyle w:val="ListParagraph"/>
              <w:numPr>
                <w:ilvl w:val="0"/>
                <w:numId w:val="4"/>
              </w:numPr>
              <w:ind w:left="144" w:hanging="144"/>
              <w:rPr>
                <w:rFonts w:ascii="Arial" w:hAnsi="Arial" w:cs="Arial"/>
                <w:sz w:val="24"/>
                <w:szCs w:val="24"/>
              </w:rPr>
            </w:pPr>
            <w:r>
              <w:rPr>
                <w:rFonts w:ascii="Arial" w:hAnsi="Arial" w:cs="Arial"/>
                <w:sz w:val="24"/>
                <w:szCs w:val="24"/>
              </w:rPr>
              <w:t>New section to clarify minimal requirements for tiny TIUGAs and clarify jurisdiction on piping between UST and tiny TIUGA.</w:t>
            </w:r>
          </w:p>
          <w:p w14:paraId="4479272C" w14:textId="77777777" w:rsidR="00AB329E" w:rsidRDefault="00AB329E" w:rsidP="00404795">
            <w:pPr>
              <w:pStyle w:val="ListParagraph"/>
              <w:numPr>
                <w:ilvl w:val="0"/>
                <w:numId w:val="4"/>
              </w:numPr>
              <w:ind w:left="144" w:hanging="144"/>
              <w:rPr>
                <w:rFonts w:ascii="Arial" w:hAnsi="Arial" w:cs="Arial"/>
                <w:sz w:val="24"/>
                <w:szCs w:val="24"/>
              </w:rPr>
            </w:pPr>
            <w:r>
              <w:rPr>
                <w:rFonts w:ascii="Arial" w:hAnsi="Arial" w:cs="Arial"/>
                <w:sz w:val="24"/>
                <w:szCs w:val="24"/>
              </w:rPr>
              <w:t>Do we want to include how far back the records should be kept here or in regulations? Regulations preferred for now. Could be a minimum of 3 years for consistency with SPCC Plan requirements.</w:t>
            </w:r>
          </w:p>
          <w:p w14:paraId="5CC3E1E6" w14:textId="77777777" w:rsidR="00BF20B3" w:rsidRPr="00E00F63" w:rsidRDefault="00BF20B3" w:rsidP="00E55F49">
            <w:pPr>
              <w:pStyle w:val="ListParagraph"/>
              <w:ind w:left="144"/>
              <w:rPr>
                <w:rFonts w:ascii="Arial" w:hAnsi="Arial" w:cs="Arial"/>
                <w:sz w:val="24"/>
                <w:szCs w:val="24"/>
              </w:rPr>
            </w:pPr>
          </w:p>
        </w:tc>
      </w:tr>
      <w:tr w:rsidR="00085543" w:rsidRPr="000A5FA5" w14:paraId="24DC7ABD" w14:textId="77777777" w:rsidTr="00BA3921">
        <w:tc>
          <w:tcPr>
            <w:tcW w:w="2324" w:type="dxa"/>
          </w:tcPr>
          <w:p w14:paraId="70D8E6AD" w14:textId="6A5C3432" w:rsidR="007416A8" w:rsidRPr="00E55F49" w:rsidRDefault="00067293">
            <w:pPr>
              <w:rPr>
                <w:rFonts w:ascii="Arial" w:hAnsi="Arial" w:cs="Arial"/>
                <w:sz w:val="24"/>
                <w:szCs w:val="24"/>
              </w:rPr>
            </w:pPr>
            <w:r w:rsidRPr="00E55F49">
              <w:rPr>
                <w:rFonts w:ascii="Arial" w:hAnsi="Arial" w:cs="Arial"/>
                <w:sz w:val="24"/>
                <w:szCs w:val="24"/>
              </w:rPr>
              <w:t>25270.4.5(b)</w:t>
            </w:r>
          </w:p>
        </w:tc>
        <w:tc>
          <w:tcPr>
            <w:tcW w:w="7126" w:type="dxa"/>
          </w:tcPr>
          <w:p w14:paraId="172A8B41" w14:textId="74D0726B" w:rsidR="00DB0857" w:rsidRDefault="003D6140">
            <w:pPr>
              <w:rPr>
                <w:rFonts w:ascii="Arial" w:hAnsi="Arial" w:cs="Arial"/>
                <w:sz w:val="24"/>
                <w:szCs w:val="24"/>
                <w:shd w:val="clear" w:color="auto" w:fill="FFFFFF"/>
              </w:rPr>
            </w:pPr>
            <w:r>
              <w:rPr>
                <w:rFonts w:ascii="Arial" w:hAnsi="Arial" w:cs="Arial"/>
                <w:sz w:val="24"/>
                <w:szCs w:val="24"/>
                <w:shd w:val="clear" w:color="auto" w:fill="FFFFFF"/>
              </w:rPr>
              <w:t>Suggestion</w:t>
            </w:r>
            <w:r w:rsidR="00500D6E">
              <w:rPr>
                <w:rFonts w:ascii="Arial" w:hAnsi="Arial" w:cs="Arial"/>
                <w:sz w:val="24"/>
                <w:szCs w:val="24"/>
                <w:shd w:val="clear" w:color="auto" w:fill="FFFFFF"/>
              </w:rPr>
              <w:t>:</w:t>
            </w:r>
          </w:p>
          <w:p w14:paraId="6FC08FC8" w14:textId="1CAB20E8" w:rsidR="007416A8" w:rsidRDefault="00067293">
            <w:pPr>
              <w:rPr>
                <w:rFonts w:ascii="Arial" w:hAnsi="Arial" w:cs="Arial"/>
                <w:sz w:val="24"/>
                <w:szCs w:val="24"/>
                <w:shd w:val="clear" w:color="auto" w:fill="FFFFFF"/>
              </w:rPr>
            </w:pPr>
            <w:r w:rsidRPr="00E55F49">
              <w:rPr>
                <w:rFonts w:ascii="Arial" w:hAnsi="Arial" w:cs="Arial"/>
                <w:sz w:val="24"/>
                <w:szCs w:val="24"/>
                <w:shd w:val="clear" w:color="auto" w:fill="FFFFFF"/>
              </w:rPr>
              <w:t xml:space="preserve">A tank facility located on and operated by a farm, nursery, logging site, or construction site is not subject to subdivision (a) if no </w:t>
            </w:r>
            <w:r w:rsidR="007F0903" w:rsidRPr="00E55F49">
              <w:rPr>
                <w:rFonts w:ascii="Arial" w:hAnsi="Arial" w:cs="Arial"/>
                <w:color w:val="ED0000"/>
                <w:sz w:val="24"/>
                <w:szCs w:val="24"/>
                <w:u w:val="single"/>
                <w:shd w:val="clear" w:color="auto" w:fill="FFFFFF"/>
              </w:rPr>
              <w:t>petroleum</w:t>
            </w:r>
            <w:r w:rsidR="007F0903" w:rsidRPr="00E55F49">
              <w:rPr>
                <w:rFonts w:ascii="Arial" w:hAnsi="Arial" w:cs="Arial"/>
                <w:sz w:val="24"/>
                <w:szCs w:val="24"/>
                <w:shd w:val="clear" w:color="auto" w:fill="FFFFFF"/>
              </w:rPr>
              <w:t xml:space="preserve"> </w:t>
            </w:r>
            <w:r w:rsidRPr="00E55F49">
              <w:rPr>
                <w:rFonts w:ascii="Arial" w:hAnsi="Arial" w:cs="Arial"/>
                <w:sz w:val="24"/>
                <w:szCs w:val="24"/>
                <w:shd w:val="clear" w:color="auto" w:fill="FFFFFF"/>
              </w:rPr>
              <w:t>storage tank at the location exceeds 20,000 gallons and the cumulative storage capacity of the tank facility does not exceed 100,000 gallons. Unless excluded from the definition of an “</w:t>
            </w:r>
            <w:r w:rsidRPr="00E55F49">
              <w:rPr>
                <w:rStyle w:val="wordphrase"/>
                <w:rFonts w:ascii="Arial" w:hAnsi="Arial" w:cs="Arial"/>
                <w:sz w:val="24"/>
                <w:szCs w:val="24"/>
                <w:shd w:val="clear" w:color="auto" w:fill="FFFFFF"/>
              </w:rPr>
              <w:t>aboveground storage tank</w:t>
            </w:r>
            <w:r w:rsidRPr="00E55F49">
              <w:rPr>
                <w:rFonts w:ascii="Arial" w:hAnsi="Arial" w:cs="Arial"/>
                <w:sz w:val="24"/>
                <w:szCs w:val="24"/>
                <w:shd w:val="clear" w:color="auto" w:fill="FFFFFF"/>
              </w:rPr>
              <w:t xml:space="preserve">” </w:t>
            </w:r>
            <w:r w:rsidR="00F77DD3" w:rsidRPr="00E55F49">
              <w:rPr>
                <w:rFonts w:ascii="Arial" w:hAnsi="Arial" w:cs="Arial"/>
                <w:sz w:val="24"/>
                <w:szCs w:val="24"/>
                <w:shd w:val="clear" w:color="auto" w:fill="FFFFFF"/>
              </w:rPr>
              <w:t>in</w:t>
            </w:r>
            <w:r w:rsidR="00F77DD3">
              <w:rPr>
                <w:rFonts w:ascii="Arial" w:hAnsi="Arial" w:cs="Arial"/>
                <w:sz w:val="24"/>
                <w:szCs w:val="24"/>
                <w:shd w:val="clear" w:color="auto" w:fill="FFFFFF"/>
              </w:rPr>
              <w:t xml:space="preserve"> </w:t>
            </w:r>
            <w:hyperlink r:id="rId8" w:tgtFrame="_blank" w:tooltip="Section 25270.2" w:history="1">
              <w:r w:rsidRPr="00E55F49">
                <w:rPr>
                  <w:rStyle w:val="Hyperlink"/>
                  <w:rFonts w:ascii="Arial" w:hAnsi="Arial" w:cs="Arial"/>
                  <w:color w:val="auto"/>
                  <w:sz w:val="24"/>
                  <w:szCs w:val="24"/>
                  <w:u w:val="none"/>
                  <w:shd w:val="clear" w:color="auto" w:fill="FFFFFF"/>
                </w:rPr>
                <w:t>Section 25270.2</w:t>
              </w:r>
            </w:hyperlink>
            <w:r w:rsidRPr="00E55F49">
              <w:rPr>
                <w:rFonts w:ascii="Arial" w:hAnsi="Arial" w:cs="Arial"/>
                <w:sz w:val="24"/>
                <w:szCs w:val="24"/>
                <w:shd w:val="clear" w:color="auto" w:fill="FFFFFF"/>
              </w:rPr>
              <w:t>, the owner or operator of a tank facility exempt pursuant to this subdivision shall take the following actions:</w:t>
            </w:r>
          </w:p>
          <w:p w14:paraId="45E88471" w14:textId="77777777" w:rsidR="00757C9E" w:rsidRDefault="00757C9E">
            <w:pPr>
              <w:rPr>
                <w:rFonts w:ascii="Arial" w:hAnsi="Arial" w:cs="Arial"/>
                <w:sz w:val="24"/>
                <w:szCs w:val="24"/>
                <w:shd w:val="clear" w:color="auto" w:fill="FFFFFF"/>
              </w:rPr>
            </w:pPr>
          </w:p>
          <w:p w14:paraId="6E33ACD0" w14:textId="220A5A8A" w:rsidR="00DB0857" w:rsidRDefault="00DB0857">
            <w:pPr>
              <w:rPr>
                <w:rFonts w:ascii="Arial" w:hAnsi="Arial" w:cs="Arial"/>
                <w:sz w:val="24"/>
                <w:szCs w:val="24"/>
                <w:shd w:val="clear" w:color="auto" w:fill="FFFFFF"/>
              </w:rPr>
            </w:pPr>
            <w:r>
              <w:rPr>
                <w:rFonts w:ascii="Arial" w:hAnsi="Arial" w:cs="Arial"/>
                <w:sz w:val="24"/>
                <w:szCs w:val="24"/>
                <w:shd w:val="clear" w:color="auto" w:fill="FFFFFF"/>
              </w:rPr>
              <w:t xml:space="preserve">Current </w:t>
            </w:r>
            <w:r w:rsidR="00500D6E">
              <w:rPr>
                <w:rFonts w:ascii="Arial" w:hAnsi="Arial" w:cs="Arial"/>
                <w:sz w:val="24"/>
                <w:szCs w:val="24"/>
                <w:shd w:val="clear" w:color="auto" w:fill="FFFFFF"/>
              </w:rPr>
              <w:t>statute:</w:t>
            </w:r>
          </w:p>
          <w:p w14:paraId="4BB4F1F8" w14:textId="77777777" w:rsidR="00757C9E" w:rsidRDefault="00757C9E">
            <w:pPr>
              <w:rPr>
                <w:rFonts w:ascii="Arial" w:hAnsi="Arial" w:cs="Arial"/>
                <w:sz w:val="24"/>
                <w:szCs w:val="24"/>
              </w:rPr>
            </w:pPr>
            <w:r w:rsidRPr="00757C9E">
              <w:rPr>
                <w:rFonts w:ascii="Arial" w:hAnsi="Arial" w:cs="Arial"/>
                <w:sz w:val="24"/>
                <w:szCs w:val="24"/>
              </w:rPr>
              <w:t xml:space="preserve">(b) A tank facility located on and operated by a farm, nursery, logging site, or construction site is not subject to subdivision (a) if no storage tank at the location exceeds 20,000 gallons </w:t>
            </w:r>
            <w:r w:rsidRPr="00E55F49">
              <w:rPr>
                <w:rFonts w:ascii="Arial" w:hAnsi="Arial" w:cs="Arial"/>
                <w:b/>
                <w:bCs/>
                <w:i/>
                <w:iCs/>
                <w:sz w:val="24"/>
                <w:szCs w:val="24"/>
              </w:rPr>
              <w:t>of petroleum</w:t>
            </w:r>
            <w:r w:rsidRPr="00757C9E">
              <w:rPr>
                <w:rFonts w:ascii="Arial" w:hAnsi="Arial" w:cs="Arial"/>
                <w:sz w:val="24"/>
                <w:szCs w:val="24"/>
              </w:rPr>
              <w:t xml:space="preserve"> and the cumulative </w:t>
            </w:r>
            <w:r w:rsidRPr="00E55F49">
              <w:rPr>
                <w:rFonts w:ascii="Arial" w:hAnsi="Arial" w:cs="Arial"/>
                <w:b/>
                <w:bCs/>
                <w:i/>
                <w:iCs/>
                <w:sz w:val="24"/>
                <w:szCs w:val="24"/>
              </w:rPr>
              <w:t>petroleum</w:t>
            </w:r>
            <w:r w:rsidRPr="00757C9E">
              <w:rPr>
                <w:rFonts w:ascii="Arial" w:hAnsi="Arial" w:cs="Arial"/>
                <w:sz w:val="24"/>
                <w:szCs w:val="24"/>
              </w:rPr>
              <w:t xml:space="preserve"> storage capacity of the tank facility does not exceed 100,000 gallons. Unless excluded from the definition of an “aboveground storage tank” in </w:t>
            </w:r>
            <w:r w:rsidRPr="00757C9E">
              <w:rPr>
                <w:rFonts w:ascii="Arial" w:hAnsi="Arial" w:cs="Arial"/>
                <w:sz w:val="24"/>
                <w:szCs w:val="24"/>
              </w:rPr>
              <w:lastRenderedPageBreak/>
              <w:t>Section 25270.2, the owner or operator of a tank facility exempt pursuant to this subdivision shall take the following actions:</w:t>
            </w:r>
          </w:p>
          <w:p w14:paraId="4C16694B" w14:textId="1C67B2B2" w:rsidR="00BF20B3" w:rsidRPr="00E55F49" w:rsidRDefault="00BF20B3">
            <w:pPr>
              <w:rPr>
                <w:rFonts w:ascii="Arial" w:hAnsi="Arial" w:cs="Arial"/>
                <w:sz w:val="24"/>
                <w:szCs w:val="24"/>
              </w:rPr>
            </w:pPr>
          </w:p>
        </w:tc>
        <w:tc>
          <w:tcPr>
            <w:tcW w:w="5040" w:type="dxa"/>
          </w:tcPr>
          <w:p w14:paraId="6E1AFBF0" w14:textId="76E2FC12" w:rsidR="007F0903" w:rsidRPr="00E55F49" w:rsidRDefault="039CE5CD" w:rsidP="007F0903">
            <w:pPr>
              <w:pStyle w:val="ListParagraph"/>
              <w:numPr>
                <w:ilvl w:val="0"/>
                <w:numId w:val="4"/>
              </w:numPr>
              <w:ind w:left="144" w:hanging="144"/>
              <w:rPr>
                <w:rFonts w:ascii="Arial" w:hAnsi="Arial" w:cs="Arial"/>
                <w:sz w:val="24"/>
                <w:szCs w:val="24"/>
              </w:rPr>
            </w:pPr>
            <w:r w:rsidRPr="00E55F49">
              <w:rPr>
                <w:rFonts w:ascii="Arial" w:hAnsi="Arial" w:cs="Arial"/>
                <w:sz w:val="24"/>
                <w:szCs w:val="24"/>
              </w:rPr>
              <w:lastRenderedPageBreak/>
              <w:t xml:space="preserve">Adding </w:t>
            </w:r>
            <w:r w:rsidR="0E4E5185" w:rsidRPr="00E55F49">
              <w:rPr>
                <w:rFonts w:ascii="Arial" w:hAnsi="Arial" w:cs="Arial"/>
                <w:sz w:val="24"/>
                <w:szCs w:val="24"/>
              </w:rPr>
              <w:t xml:space="preserve">“petroleum” </w:t>
            </w:r>
            <w:r w:rsidRPr="00E55F49">
              <w:rPr>
                <w:rFonts w:ascii="Arial" w:hAnsi="Arial" w:cs="Arial"/>
                <w:sz w:val="24"/>
                <w:szCs w:val="24"/>
              </w:rPr>
              <w:t xml:space="preserve">for clarity. </w:t>
            </w:r>
          </w:p>
          <w:p w14:paraId="5DDF3460" w14:textId="7D781A73" w:rsidR="00DB0857" w:rsidRPr="00E55F49" w:rsidRDefault="00DB0857" w:rsidP="00E55F49">
            <w:pPr>
              <w:pStyle w:val="ListParagraph"/>
              <w:numPr>
                <w:ilvl w:val="0"/>
                <w:numId w:val="4"/>
              </w:numPr>
              <w:ind w:left="144" w:hanging="144"/>
              <w:rPr>
                <w:rFonts w:ascii="Arial" w:hAnsi="Arial" w:cs="Arial"/>
                <w:sz w:val="24"/>
                <w:szCs w:val="24"/>
                <w:shd w:val="clear" w:color="auto" w:fill="FFFFFF"/>
              </w:rPr>
            </w:pPr>
            <w:r>
              <w:rPr>
                <w:rFonts w:ascii="Arial" w:hAnsi="Arial" w:cs="Arial"/>
                <w:sz w:val="24"/>
                <w:szCs w:val="24"/>
                <w:shd w:val="clear" w:color="auto" w:fill="FFFFFF"/>
              </w:rPr>
              <w:t>Jennifer</w:t>
            </w:r>
            <w:r w:rsidR="006C2E69">
              <w:rPr>
                <w:rFonts w:ascii="Arial" w:hAnsi="Arial" w:cs="Arial"/>
                <w:sz w:val="24"/>
                <w:szCs w:val="24"/>
                <w:shd w:val="clear" w:color="auto" w:fill="FFFFFF"/>
              </w:rPr>
              <w:t xml:space="preserve"> Lorenzo</w:t>
            </w:r>
            <w:r w:rsidR="00500D6E">
              <w:rPr>
                <w:rFonts w:ascii="Arial" w:hAnsi="Arial" w:cs="Arial"/>
                <w:sz w:val="24"/>
                <w:szCs w:val="24"/>
                <w:shd w:val="clear" w:color="auto" w:fill="FFFFFF"/>
              </w:rPr>
              <w:t xml:space="preserve">: </w:t>
            </w:r>
            <w:r w:rsidR="00771562">
              <w:rPr>
                <w:rFonts w:ascii="Arial" w:hAnsi="Arial" w:cs="Arial"/>
                <w:sz w:val="24"/>
                <w:szCs w:val="24"/>
                <w:shd w:val="clear" w:color="auto" w:fill="FFFFFF"/>
              </w:rPr>
              <w:t>Unnecessary, c</w:t>
            </w:r>
            <w:r w:rsidRPr="00E55F49">
              <w:rPr>
                <w:rFonts w:ascii="Arial" w:hAnsi="Arial" w:cs="Arial"/>
                <w:sz w:val="24"/>
                <w:szCs w:val="24"/>
                <w:shd w:val="clear" w:color="auto" w:fill="FFFFFF"/>
              </w:rPr>
              <w:t>urrent statute already has petroleum</w:t>
            </w:r>
            <w:r w:rsidR="00500D6E">
              <w:rPr>
                <w:rFonts w:ascii="Arial" w:hAnsi="Arial" w:cs="Arial"/>
                <w:sz w:val="24"/>
                <w:szCs w:val="24"/>
                <w:shd w:val="clear" w:color="auto" w:fill="FFFFFF"/>
              </w:rPr>
              <w:t xml:space="preserve"> for 20</w:t>
            </w:r>
            <w:r w:rsidR="00771562">
              <w:rPr>
                <w:rFonts w:ascii="Arial" w:hAnsi="Arial" w:cs="Arial"/>
                <w:sz w:val="24"/>
                <w:szCs w:val="24"/>
                <w:shd w:val="clear" w:color="auto" w:fill="FFFFFF"/>
              </w:rPr>
              <w:t>,000</w:t>
            </w:r>
            <w:r w:rsidR="00605F42">
              <w:rPr>
                <w:rFonts w:ascii="Arial" w:hAnsi="Arial" w:cs="Arial"/>
                <w:sz w:val="24"/>
                <w:szCs w:val="24"/>
                <w:shd w:val="clear" w:color="auto" w:fill="FFFFFF"/>
              </w:rPr>
              <w:t>-</w:t>
            </w:r>
            <w:r w:rsidR="00771562">
              <w:rPr>
                <w:rFonts w:ascii="Arial" w:hAnsi="Arial" w:cs="Arial"/>
                <w:sz w:val="24"/>
                <w:szCs w:val="24"/>
                <w:shd w:val="clear" w:color="auto" w:fill="FFFFFF"/>
              </w:rPr>
              <w:t>gallon</w:t>
            </w:r>
            <w:r w:rsidR="00605F42">
              <w:rPr>
                <w:rFonts w:ascii="Arial" w:hAnsi="Arial" w:cs="Arial"/>
                <w:sz w:val="24"/>
                <w:szCs w:val="24"/>
                <w:shd w:val="clear" w:color="auto" w:fill="FFFFFF"/>
              </w:rPr>
              <w:t xml:space="preserve"> single tank</w:t>
            </w:r>
            <w:r w:rsidR="00771562">
              <w:rPr>
                <w:rFonts w:ascii="Arial" w:hAnsi="Arial" w:cs="Arial"/>
                <w:sz w:val="24"/>
                <w:szCs w:val="24"/>
                <w:shd w:val="clear" w:color="auto" w:fill="FFFFFF"/>
              </w:rPr>
              <w:t xml:space="preserve"> </w:t>
            </w:r>
            <w:r w:rsidR="00500D6E">
              <w:rPr>
                <w:rFonts w:ascii="Arial" w:hAnsi="Arial" w:cs="Arial"/>
                <w:sz w:val="24"/>
                <w:szCs w:val="24"/>
                <w:shd w:val="clear" w:color="auto" w:fill="FFFFFF"/>
              </w:rPr>
              <w:t>a</w:t>
            </w:r>
            <w:r w:rsidR="00771562">
              <w:rPr>
                <w:rFonts w:ascii="Arial" w:hAnsi="Arial" w:cs="Arial"/>
                <w:sz w:val="24"/>
                <w:szCs w:val="24"/>
                <w:shd w:val="clear" w:color="auto" w:fill="FFFFFF"/>
              </w:rPr>
              <w:t>s well as the 100,000 gallon</w:t>
            </w:r>
            <w:r w:rsidR="000F3B18">
              <w:rPr>
                <w:rFonts w:ascii="Arial" w:hAnsi="Arial" w:cs="Arial"/>
                <w:sz w:val="24"/>
                <w:szCs w:val="24"/>
                <w:shd w:val="clear" w:color="auto" w:fill="FFFFFF"/>
              </w:rPr>
              <w:t>s cumulative capacity</w:t>
            </w:r>
            <w:r w:rsidR="008D6191">
              <w:rPr>
                <w:rFonts w:ascii="Arial" w:hAnsi="Arial" w:cs="Arial"/>
                <w:sz w:val="24"/>
                <w:szCs w:val="24"/>
                <w:shd w:val="clear" w:color="auto" w:fill="FFFFFF"/>
              </w:rPr>
              <w:t xml:space="preserve"> per</w:t>
            </w:r>
            <w:r w:rsidR="00C569D3">
              <w:rPr>
                <w:rFonts w:ascii="Arial" w:hAnsi="Arial" w:cs="Arial"/>
                <w:sz w:val="24"/>
                <w:szCs w:val="24"/>
                <w:shd w:val="clear" w:color="auto" w:fill="FFFFFF"/>
              </w:rPr>
              <w:t xml:space="preserve"> amendments from</w:t>
            </w:r>
            <w:r w:rsidR="008D6191">
              <w:rPr>
                <w:rFonts w:ascii="Arial" w:hAnsi="Arial" w:cs="Arial"/>
                <w:sz w:val="24"/>
                <w:szCs w:val="24"/>
                <w:shd w:val="clear" w:color="auto" w:fill="FFFFFF"/>
              </w:rPr>
              <w:t xml:space="preserve"> A</w:t>
            </w:r>
            <w:r w:rsidR="00B67EB7">
              <w:rPr>
                <w:rFonts w:ascii="Arial" w:hAnsi="Arial" w:cs="Arial"/>
                <w:sz w:val="24"/>
                <w:szCs w:val="24"/>
                <w:shd w:val="clear" w:color="auto" w:fill="FFFFFF"/>
              </w:rPr>
              <w:t xml:space="preserve">ssembly </w:t>
            </w:r>
            <w:r w:rsidR="008D6191">
              <w:rPr>
                <w:rFonts w:ascii="Arial" w:hAnsi="Arial" w:cs="Arial"/>
                <w:sz w:val="24"/>
                <w:szCs w:val="24"/>
                <w:shd w:val="clear" w:color="auto" w:fill="FFFFFF"/>
              </w:rPr>
              <w:t>B</w:t>
            </w:r>
            <w:r w:rsidR="00B67EB7">
              <w:rPr>
                <w:rFonts w:ascii="Arial" w:hAnsi="Arial" w:cs="Arial"/>
                <w:sz w:val="24"/>
                <w:szCs w:val="24"/>
                <w:shd w:val="clear" w:color="auto" w:fill="FFFFFF"/>
              </w:rPr>
              <w:t xml:space="preserve">ill </w:t>
            </w:r>
            <w:r w:rsidR="008D6191">
              <w:rPr>
                <w:rFonts w:ascii="Arial" w:hAnsi="Arial" w:cs="Arial"/>
                <w:sz w:val="24"/>
                <w:szCs w:val="24"/>
                <w:shd w:val="clear" w:color="auto" w:fill="FFFFFF"/>
              </w:rPr>
              <w:t>1716</w:t>
            </w:r>
            <w:r w:rsidR="00C569D3">
              <w:rPr>
                <w:rFonts w:ascii="Arial" w:hAnsi="Arial" w:cs="Arial"/>
                <w:sz w:val="24"/>
                <w:szCs w:val="24"/>
                <w:shd w:val="clear" w:color="auto" w:fill="FFFFFF"/>
              </w:rPr>
              <w:t xml:space="preserve"> (2023).</w:t>
            </w:r>
          </w:p>
          <w:p w14:paraId="12D23233" w14:textId="77777777" w:rsidR="007416A8" w:rsidRPr="00E55F49" w:rsidRDefault="007416A8">
            <w:pPr>
              <w:rPr>
                <w:rFonts w:ascii="Arial" w:hAnsi="Arial" w:cs="Arial"/>
                <w:sz w:val="24"/>
                <w:szCs w:val="24"/>
              </w:rPr>
            </w:pPr>
          </w:p>
        </w:tc>
      </w:tr>
      <w:tr w:rsidR="00085543" w:rsidRPr="000A5FA5" w14:paraId="08CA6956" w14:textId="77777777" w:rsidTr="00BA3921">
        <w:tc>
          <w:tcPr>
            <w:tcW w:w="2324" w:type="dxa"/>
          </w:tcPr>
          <w:p w14:paraId="106E96C5" w14:textId="3BD5EA86" w:rsidR="00BF6D75" w:rsidRPr="00E55F49" w:rsidRDefault="007F0903">
            <w:pPr>
              <w:rPr>
                <w:rFonts w:ascii="Arial" w:hAnsi="Arial" w:cs="Arial"/>
                <w:sz w:val="24"/>
                <w:szCs w:val="24"/>
              </w:rPr>
            </w:pPr>
            <w:r w:rsidRPr="00E55F49">
              <w:rPr>
                <w:rFonts w:ascii="Arial" w:hAnsi="Arial" w:cs="Arial"/>
                <w:sz w:val="24"/>
                <w:szCs w:val="24"/>
              </w:rPr>
              <w:t>25270.5(a)</w:t>
            </w:r>
          </w:p>
        </w:tc>
        <w:tc>
          <w:tcPr>
            <w:tcW w:w="7126" w:type="dxa"/>
          </w:tcPr>
          <w:p w14:paraId="7D9ACD24" w14:textId="59704B2C" w:rsidR="002A666C" w:rsidRPr="00E55F49" w:rsidRDefault="002A666C" w:rsidP="002A666C">
            <w:pPr>
              <w:rPr>
                <w:rFonts w:ascii="Arial" w:hAnsi="Arial" w:cs="Arial"/>
                <w:sz w:val="24"/>
                <w:szCs w:val="24"/>
              </w:rPr>
            </w:pPr>
            <w:r w:rsidRPr="002A666C">
              <w:rPr>
                <w:rFonts w:ascii="Arial" w:hAnsi="Arial" w:cs="Arial"/>
                <w:sz w:val="24"/>
                <w:szCs w:val="24"/>
              </w:rPr>
              <w:t xml:space="preserve">Except as provided in subdivision (b), at least once every three years, the UPA shall inspect each storage tank or a representative sampling of the storage tanks at each tank facility that has a storage </w:t>
            </w:r>
            <w:proofErr w:type="gramStart"/>
            <w:r w:rsidRPr="002A666C">
              <w:rPr>
                <w:rFonts w:ascii="Arial" w:hAnsi="Arial" w:cs="Arial"/>
                <w:sz w:val="24"/>
                <w:szCs w:val="24"/>
              </w:rPr>
              <w:t>capacity</w:t>
            </w:r>
            <w:r w:rsidRPr="00BB4850">
              <w:rPr>
                <w:rFonts w:ascii="Arial" w:hAnsi="Arial" w:cs="Arial"/>
                <w:strike/>
                <w:color w:val="FF0000"/>
                <w:sz w:val="24"/>
                <w:szCs w:val="24"/>
              </w:rPr>
              <w:t xml:space="preserve"> </w:t>
            </w:r>
            <w:r w:rsidRPr="00E55F49">
              <w:rPr>
                <w:rFonts w:ascii="Arial" w:hAnsi="Arial" w:cs="Arial"/>
                <w:strike/>
                <w:color w:val="ED0000"/>
                <w:sz w:val="24"/>
                <w:szCs w:val="24"/>
                <w:shd w:val="clear" w:color="auto" w:fill="FFFFFF"/>
              </w:rPr>
              <w:t>o</w:t>
            </w:r>
            <w:r w:rsidRPr="00BB4850">
              <w:rPr>
                <w:rFonts w:ascii="Arial" w:hAnsi="Arial" w:cs="Arial"/>
                <w:color w:val="ED0000"/>
                <w:sz w:val="24"/>
                <w:szCs w:val="24"/>
                <w:shd w:val="clear" w:color="auto" w:fill="FFFFFF"/>
              </w:rPr>
              <w:t>f</w:t>
            </w:r>
            <w:proofErr w:type="gramEnd"/>
            <w:r w:rsidRPr="00C65948">
              <w:rPr>
                <w:rFonts w:ascii="Arial" w:hAnsi="Arial" w:cs="Arial"/>
                <w:color w:val="ED0000"/>
                <w:sz w:val="24"/>
                <w:szCs w:val="24"/>
                <w:u w:val="single"/>
                <w:shd w:val="clear" w:color="auto" w:fill="FFFFFF"/>
              </w:rPr>
              <w:t xml:space="preserve"> </w:t>
            </w:r>
            <w:r w:rsidRPr="00E55F49">
              <w:rPr>
                <w:rFonts w:ascii="Arial" w:hAnsi="Arial" w:cs="Arial"/>
                <w:color w:val="ED0000"/>
                <w:sz w:val="24"/>
                <w:szCs w:val="24"/>
                <w:u w:val="single"/>
                <w:shd w:val="clear" w:color="auto" w:fill="FFFFFF"/>
              </w:rPr>
              <w:t>that exceeds</w:t>
            </w:r>
            <w:r w:rsidRPr="00E55F49">
              <w:rPr>
                <w:rFonts w:ascii="Arial" w:hAnsi="Arial" w:cs="Arial"/>
                <w:sz w:val="24"/>
                <w:szCs w:val="24"/>
                <w:shd w:val="clear" w:color="auto" w:fill="FFFFFF"/>
              </w:rPr>
              <w:t xml:space="preserve"> </w:t>
            </w:r>
            <w:r w:rsidRPr="002A666C">
              <w:rPr>
                <w:rFonts w:ascii="Arial" w:hAnsi="Arial" w:cs="Arial"/>
                <w:sz w:val="24"/>
                <w:szCs w:val="24"/>
              </w:rPr>
              <w:t xml:space="preserve">10,000 gallons </w:t>
            </w:r>
            <w:r w:rsidRPr="00E55F49">
              <w:rPr>
                <w:rFonts w:ascii="Arial" w:hAnsi="Arial" w:cs="Arial"/>
                <w:strike/>
                <w:color w:val="ED0000"/>
                <w:sz w:val="24"/>
                <w:szCs w:val="24"/>
                <w:shd w:val="clear" w:color="auto" w:fill="FFFFFF"/>
              </w:rPr>
              <w:t>or more</w:t>
            </w:r>
            <w:r w:rsidRPr="00BB4850">
              <w:rPr>
                <w:rFonts w:ascii="Arial" w:hAnsi="Arial" w:cs="Arial"/>
                <w:strike/>
                <w:color w:val="ED0000"/>
                <w:sz w:val="24"/>
                <w:szCs w:val="24"/>
                <w:shd w:val="clear" w:color="auto" w:fill="FFFFFF"/>
              </w:rPr>
              <w:t xml:space="preserve"> </w:t>
            </w:r>
            <w:r w:rsidRPr="002A666C">
              <w:rPr>
                <w:rFonts w:ascii="Arial" w:hAnsi="Arial" w:cs="Arial"/>
                <w:sz w:val="24"/>
                <w:szCs w:val="24"/>
              </w:rPr>
              <w:t xml:space="preserve">of petroleum. The purpose of the inspection shall be to determine whether the owner or operator </w:t>
            </w:r>
            <w:proofErr w:type="gramStart"/>
            <w:r w:rsidRPr="002A666C">
              <w:rPr>
                <w:rFonts w:ascii="Arial" w:hAnsi="Arial" w:cs="Arial"/>
                <w:sz w:val="24"/>
                <w:szCs w:val="24"/>
              </w:rPr>
              <w:t>is in compliance with</w:t>
            </w:r>
            <w:proofErr w:type="gramEnd"/>
            <w:r w:rsidRPr="002A666C">
              <w:rPr>
                <w:rFonts w:ascii="Arial" w:hAnsi="Arial" w:cs="Arial"/>
                <w:sz w:val="24"/>
                <w:szCs w:val="24"/>
              </w:rPr>
              <w:t xml:space="preserve"> the spill prevention control and countermeasure plan requirements of this chapter.</w:t>
            </w:r>
          </w:p>
        </w:tc>
        <w:tc>
          <w:tcPr>
            <w:tcW w:w="5040" w:type="dxa"/>
          </w:tcPr>
          <w:p w14:paraId="3E8D7DEB" w14:textId="1338CAEC" w:rsidR="00170F6A" w:rsidRDefault="00CF5F16" w:rsidP="13ECA5D9">
            <w:pPr>
              <w:pStyle w:val="ListParagraph"/>
              <w:numPr>
                <w:ilvl w:val="0"/>
                <w:numId w:val="4"/>
              </w:numPr>
              <w:ind w:left="144" w:hanging="144"/>
              <w:rPr>
                <w:rFonts w:ascii="Arial" w:hAnsi="Arial" w:cs="Arial"/>
                <w:sz w:val="24"/>
                <w:szCs w:val="24"/>
              </w:rPr>
            </w:pPr>
            <w:r>
              <w:rPr>
                <w:rFonts w:ascii="Arial" w:hAnsi="Arial" w:cs="Arial"/>
                <w:sz w:val="24"/>
                <w:szCs w:val="24"/>
              </w:rPr>
              <w:t xml:space="preserve">Unknown: </w:t>
            </w:r>
            <w:r w:rsidR="007F0903" w:rsidRPr="00E55F49">
              <w:rPr>
                <w:rFonts w:ascii="Arial" w:hAnsi="Arial" w:cs="Arial"/>
                <w:sz w:val="24"/>
                <w:szCs w:val="24"/>
              </w:rPr>
              <w:t xml:space="preserve">For consistency with qualified facility capacity. </w:t>
            </w:r>
            <w:r w:rsidR="6E962F44" w:rsidRPr="00E55F49">
              <w:rPr>
                <w:rFonts w:ascii="Arial" w:hAnsi="Arial" w:cs="Arial"/>
                <w:sz w:val="24"/>
                <w:szCs w:val="24"/>
              </w:rPr>
              <w:t xml:space="preserve">Note: If this is updated, consider updating </w:t>
            </w:r>
            <w:r w:rsidR="00B67EB7">
              <w:rPr>
                <w:rFonts w:ascii="Arial" w:hAnsi="Arial" w:cs="Arial"/>
                <w:sz w:val="24"/>
                <w:szCs w:val="24"/>
              </w:rPr>
              <w:t xml:space="preserve">19 </w:t>
            </w:r>
            <w:r w:rsidR="6E962F44" w:rsidRPr="00E55F49">
              <w:rPr>
                <w:rFonts w:ascii="Arial" w:hAnsi="Arial" w:cs="Arial"/>
                <w:sz w:val="24"/>
                <w:szCs w:val="24"/>
              </w:rPr>
              <w:t xml:space="preserve">CCR </w:t>
            </w:r>
            <w:r w:rsidR="00B67EB7">
              <w:rPr>
                <w:rFonts w:ascii="Arial" w:hAnsi="Arial" w:cs="Arial"/>
                <w:sz w:val="24"/>
                <w:szCs w:val="24"/>
              </w:rPr>
              <w:t>1</w:t>
            </w:r>
            <w:r w:rsidR="6E962F44" w:rsidRPr="00E55F49">
              <w:rPr>
                <w:rFonts w:ascii="Arial" w:hAnsi="Arial" w:cs="Arial"/>
                <w:sz w:val="24"/>
                <w:szCs w:val="24"/>
              </w:rPr>
              <w:t>609</w:t>
            </w:r>
            <w:r w:rsidR="00170F6A" w:rsidRPr="00170F6A">
              <w:rPr>
                <w:rFonts w:ascii="Arial" w:hAnsi="Arial" w:cs="Arial"/>
                <w:sz w:val="24"/>
                <w:szCs w:val="24"/>
              </w:rPr>
              <w:t xml:space="preserve">. </w:t>
            </w:r>
          </w:p>
          <w:p w14:paraId="52864710" w14:textId="08724E3E" w:rsidR="78B82DAA" w:rsidRPr="00E55F49" w:rsidRDefault="78B82DAA" w:rsidP="00E55F49">
            <w:pPr>
              <w:pStyle w:val="ListParagraph"/>
              <w:numPr>
                <w:ilvl w:val="0"/>
                <w:numId w:val="4"/>
              </w:numPr>
              <w:ind w:left="144" w:hanging="144"/>
              <w:rPr>
                <w:rFonts w:ascii="Arial" w:hAnsi="Arial" w:cs="Arial"/>
                <w:sz w:val="24"/>
                <w:szCs w:val="24"/>
              </w:rPr>
            </w:pPr>
            <w:r w:rsidRPr="00E55F49">
              <w:rPr>
                <w:rFonts w:ascii="Arial" w:hAnsi="Arial" w:cs="Arial"/>
                <w:sz w:val="24"/>
                <w:szCs w:val="24"/>
              </w:rPr>
              <w:t>Jennifer</w:t>
            </w:r>
            <w:r w:rsidR="00C7749B">
              <w:rPr>
                <w:rFonts w:ascii="Arial" w:hAnsi="Arial" w:cs="Arial"/>
                <w:sz w:val="24"/>
                <w:szCs w:val="24"/>
              </w:rPr>
              <w:t xml:space="preserve"> Lorenzo</w:t>
            </w:r>
            <w:r w:rsidRPr="00E55F49">
              <w:rPr>
                <w:rFonts w:ascii="Arial" w:hAnsi="Arial" w:cs="Arial"/>
                <w:sz w:val="24"/>
                <w:szCs w:val="24"/>
              </w:rPr>
              <w:t xml:space="preserve"> disagrees with this</w:t>
            </w:r>
            <w:r w:rsidR="2508B6A2" w:rsidRPr="00E55F49">
              <w:rPr>
                <w:rFonts w:ascii="Arial" w:hAnsi="Arial" w:cs="Arial"/>
                <w:sz w:val="24"/>
                <w:szCs w:val="24"/>
              </w:rPr>
              <w:t xml:space="preserve"> proposed</w:t>
            </w:r>
            <w:r w:rsidRPr="00E55F49">
              <w:rPr>
                <w:rFonts w:ascii="Arial" w:hAnsi="Arial" w:cs="Arial"/>
                <w:sz w:val="24"/>
                <w:szCs w:val="24"/>
              </w:rPr>
              <w:t xml:space="preserve"> amendment</w:t>
            </w:r>
            <w:r w:rsidR="5B9B685C" w:rsidRPr="00E55F49">
              <w:rPr>
                <w:rFonts w:ascii="Arial" w:hAnsi="Arial" w:cs="Arial"/>
                <w:sz w:val="24"/>
                <w:szCs w:val="24"/>
              </w:rPr>
              <w:t xml:space="preserve">. </w:t>
            </w:r>
            <w:r w:rsidR="139169A5" w:rsidRPr="00E55F49">
              <w:rPr>
                <w:rFonts w:ascii="Arial" w:hAnsi="Arial" w:cs="Arial"/>
                <w:sz w:val="24"/>
                <w:szCs w:val="24"/>
              </w:rPr>
              <w:t xml:space="preserve">This is not making it consistent with the qualified facility </w:t>
            </w:r>
            <w:r w:rsidR="003530F2">
              <w:rPr>
                <w:rFonts w:ascii="Arial" w:hAnsi="Arial" w:cs="Arial"/>
                <w:sz w:val="24"/>
                <w:szCs w:val="24"/>
              </w:rPr>
              <w:t>term</w:t>
            </w:r>
            <w:r w:rsidR="139169A5" w:rsidRPr="00E55F49">
              <w:rPr>
                <w:rFonts w:ascii="Arial" w:hAnsi="Arial" w:cs="Arial"/>
                <w:sz w:val="24"/>
                <w:szCs w:val="24"/>
              </w:rPr>
              <w:t xml:space="preserve">. </w:t>
            </w:r>
            <w:r w:rsidR="21FDA3DC" w:rsidRPr="00E55F49">
              <w:rPr>
                <w:rFonts w:ascii="Arial" w:hAnsi="Arial" w:cs="Arial"/>
                <w:sz w:val="24"/>
                <w:szCs w:val="24"/>
              </w:rPr>
              <w:t>APSA regulates only petroleum while SPCC rule regulates all oils.</w:t>
            </w:r>
            <w:r w:rsidR="2B89DCA3" w:rsidRPr="00E55F49">
              <w:rPr>
                <w:rFonts w:ascii="Arial" w:hAnsi="Arial" w:cs="Arial"/>
                <w:sz w:val="24"/>
                <w:szCs w:val="24"/>
              </w:rPr>
              <w:t xml:space="preserve"> Having 10,000 gallons of APSA petroleum doesn’t necessarily mean the facility meets the qualified facility </w:t>
            </w:r>
            <w:r w:rsidR="5EE75DB9" w:rsidRPr="00E55F49">
              <w:rPr>
                <w:rFonts w:ascii="Arial" w:hAnsi="Arial" w:cs="Arial"/>
                <w:sz w:val="24"/>
                <w:szCs w:val="24"/>
              </w:rPr>
              <w:t>threshold</w:t>
            </w:r>
            <w:r w:rsidR="55F220B0" w:rsidRPr="00E55F49">
              <w:rPr>
                <w:rFonts w:ascii="Arial" w:hAnsi="Arial" w:cs="Arial"/>
                <w:sz w:val="24"/>
                <w:szCs w:val="24"/>
              </w:rPr>
              <w:t>, especially</w:t>
            </w:r>
            <w:r w:rsidR="2B89DCA3" w:rsidRPr="00E55F49">
              <w:rPr>
                <w:rFonts w:ascii="Arial" w:hAnsi="Arial" w:cs="Arial"/>
                <w:sz w:val="24"/>
                <w:szCs w:val="24"/>
              </w:rPr>
              <w:t xml:space="preserve"> if </w:t>
            </w:r>
            <w:r w:rsidR="1B7DAA03" w:rsidRPr="00E55F49">
              <w:rPr>
                <w:rFonts w:ascii="Arial" w:hAnsi="Arial" w:cs="Arial"/>
                <w:sz w:val="24"/>
                <w:szCs w:val="24"/>
              </w:rPr>
              <w:t>facility</w:t>
            </w:r>
            <w:r w:rsidR="2B89DCA3" w:rsidRPr="00E55F49">
              <w:rPr>
                <w:rFonts w:ascii="Arial" w:hAnsi="Arial" w:cs="Arial"/>
                <w:sz w:val="24"/>
                <w:szCs w:val="24"/>
              </w:rPr>
              <w:t xml:space="preserve"> stores other SPCC regulated oils</w:t>
            </w:r>
            <w:r w:rsidR="0208673B" w:rsidRPr="00E55F49">
              <w:rPr>
                <w:rFonts w:ascii="Arial" w:hAnsi="Arial" w:cs="Arial"/>
                <w:sz w:val="24"/>
                <w:szCs w:val="24"/>
              </w:rPr>
              <w:t xml:space="preserve"> that are non-APSA regulated</w:t>
            </w:r>
            <w:r w:rsidR="2B89DCA3" w:rsidRPr="00E55F49">
              <w:rPr>
                <w:rFonts w:ascii="Arial" w:hAnsi="Arial" w:cs="Arial"/>
                <w:sz w:val="24"/>
                <w:szCs w:val="24"/>
              </w:rPr>
              <w:t xml:space="preserve">. </w:t>
            </w:r>
          </w:p>
          <w:p w14:paraId="36BCEC85" w14:textId="77777777" w:rsidR="00BF6D75" w:rsidRPr="00E55F49" w:rsidRDefault="00BF6D75">
            <w:pPr>
              <w:rPr>
                <w:rFonts w:ascii="Arial" w:hAnsi="Arial" w:cs="Arial"/>
                <w:sz w:val="24"/>
                <w:szCs w:val="24"/>
              </w:rPr>
            </w:pPr>
          </w:p>
        </w:tc>
      </w:tr>
      <w:tr w:rsidR="00085543" w:rsidRPr="000A5FA5" w14:paraId="1C022AB3" w14:textId="77777777" w:rsidTr="00BA3921">
        <w:tc>
          <w:tcPr>
            <w:tcW w:w="2324" w:type="dxa"/>
          </w:tcPr>
          <w:p w14:paraId="5CE91D67" w14:textId="6E23A6E4" w:rsidR="00BF6D75" w:rsidRPr="00E55F49" w:rsidRDefault="004B30FF">
            <w:pPr>
              <w:rPr>
                <w:rFonts w:ascii="Arial" w:hAnsi="Arial" w:cs="Arial"/>
                <w:sz w:val="24"/>
                <w:szCs w:val="24"/>
              </w:rPr>
            </w:pPr>
            <w:r w:rsidRPr="00E55F49">
              <w:rPr>
                <w:rFonts w:ascii="Arial" w:hAnsi="Arial" w:cs="Arial"/>
                <w:sz w:val="24"/>
                <w:szCs w:val="24"/>
              </w:rPr>
              <w:t>25270.6(a)(1)</w:t>
            </w:r>
          </w:p>
        </w:tc>
        <w:tc>
          <w:tcPr>
            <w:tcW w:w="7126" w:type="dxa"/>
          </w:tcPr>
          <w:p w14:paraId="7619DD45" w14:textId="7383BB90" w:rsidR="00D56E03" w:rsidRPr="00E55F49" w:rsidRDefault="00D56E03" w:rsidP="00505D4B">
            <w:pPr>
              <w:rPr>
                <w:rFonts w:ascii="Arial" w:hAnsi="Arial" w:cs="Arial"/>
                <w:sz w:val="24"/>
                <w:szCs w:val="24"/>
              </w:rPr>
            </w:pPr>
            <w:r w:rsidRPr="00D56E03">
              <w:rPr>
                <w:rFonts w:ascii="Arial" w:hAnsi="Arial" w:cs="Arial"/>
                <w:sz w:val="24"/>
                <w:szCs w:val="24"/>
              </w:rPr>
              <w:t xml:space="preserve">On or before January 1, annually, each owner or operator of a tank facility subject to this chapter shall file with the statewide information management system, a tank facility statement that shall identify the name and address of the tank facility, a contact person for the tank facility, the total </w:t>
            </w:r>
            <w:r w:rsidRPr="00BB4850">
              <w:rPr>
                <w:rFonts w:ascii="Arial" w:hAnsi="Arial" w:cs="Arial"/>
                <w:b/>
                <w:bCs/>
                <w:i/>
                <w:iCs/>
                <w:sz w:val="24"/>
                <w:szCs w:val="24"/>
              </w:rPr>
              <w:t>petroleum</w:t>
            </w:r>
            <w:r w:rsidRPr="00D56E03">
              <w:rPr>
                <w:rFonts w:ascii="Arial" w:hAnsi="Arial" w:cs="Arial"/>
                <w:sz w:val="24"/>
                <w:szCs w:val="24"/>
              </w:rPr>
              <w:t xml:space="preserve"> storage capacity of the tank facility, and the location and contents of each </w:t>
            </w:r>
            <w:r w:rsidRPr="00BB4850">
              <w:rPr>
                <w:rFonts w:ascii="Arial" w:hAnsi="Arial" w:cs="Arial"/>
                <w:b/>
                <w:bCs/>
                <w:i/>
                <w:iCs/>
                <w:sz w:val="24"/>
                <w:szCs w:val="24"/>
              </w:rPr>
              <w:t>petroleum</w:t>
            </w:r>
            <w:r w:rsidRPr="00D56E03">
              <w:rPr>
                <w:rFonts w:ascii="Arial" w:hAnsi="Arial" w:cs="Arial"/>
                <w:sz w:val="24"/>
                <w:szCs w:val="24"/>
              </w:rPr>
              <w:t xml:space="preserve"> storage tank that exceeds 10,000 gallons in storage capacity. A copy of a statement submitted previously pursuant to this section may be submitted in lieu of a new tank facility statement </w:t>
            </w:r>
            <w:proofErr w:type="gramStart"/>
            <w:r w:rsidRPr="00D56E03">
              <w:rPr>
                <w:rFonts w:ascii="Arial" w:hAnsi="Arial" w:cs="Arial"/>
                <w:sz w:val="24"/>
                <w:szCs w:val="24"/>
              </w:rPr>
              <w:t>if</w:t>
            </w:r>
            <w:proofErr w:type="gramEnd"/>
            <w:r w:rsidRPr="00D56E03">
              <w:rPr>
                <w:rFonts w:ascii="Arial" w:hAnsi="Arial" w:cs="Arial"/>
                <w:sz w:val="24"/>
                <w:szCs w:val="24"/>
              </w:rPr>
              <w:t xml:space="preserve"> no new or used storage tanks have been added to the </w:t>
            </w:r>
            <w:r w:rsidRPr="00E55F49">
              <w:rPr>
                <w:rFonts w:ascii="Arial" w:hAnsi="Arial" w:cs="Arial"/>
                <w:color w:val="ED0000"/>
                <w:sz w:val="24"/>
                <w:szCs w:val="24"/>
                <w:u w:val="single"/>
              </w:rPr>
              <w:t xml:space="preserve">tank </w:t>
            </w:r>
            <w:r w:rsidRPr="00D56E03">
              <w:rPr>
                <w:rFonts w:ascii="Arial" w:hAnsi="Arial" w:cs="Arial"/>
                <w:sz w:val="24"/>
                <w:szCs w:val="24"/>
              </w:rPr>
              <w:t>facility or if no significant modifications have been made. For purposes of this section, a significant modification includes, but is not limited to, altering existing storage tanks or changing spill prevention or containment methods.</w:t>
            </w:r>
          </w:p>
        </w:tc>
        <w:tc>
          <w:tcPr>
            <w:tcW w:w="5040" w:type="dxa"/>
          </w:tcPr>
          <w:p w14:paraId="3EF7292E" w14:textId="77777777" w:rsidR="00CF5F16" w:rsidRDefault="004B30FF" w:rsidP="004B30FF">
            <w:pPr>
              <w:pStyle w:val="ListParagraph"/>
              <w:numPr>
                <w:ilvl w:val="0"/>
                <w:numId w:val="4"/>
              </w:numPr>
              <w:ind w:left="144" w:hanging="144"/>
              <w:rPr>
                <w:rFonts w:ascii="Arial" w:hAnsi="Arial" w:cs="Arial"/>
                <w:sz w:val="24"/>
                <w:szCs w:val="24"/>
              </w:rPr>
            </w:pPr>
            <w:r w:rsidRPr="00E55F49">
              <w:rPr>
                <w:rFonts w:ascii="Arial" w:hAnsi="Arial" w:cs="Arial"/>
                <w:sz w:val="24"/>
                <w:szCs w:val="24"/>
              </w:rPr>
              <w:t>Adding “petroleum” for clarity.</w:t>
            </w:r>
          </w:p>
          <w:p w14:paraId="05D295EA" w14:textId="124D4375" w:rsidR="004B30FF" w:rsidRPr="00E55F49" w:rsidRDefault="00CF5F16" w:rsidP="004B30FF">
            <w:pPr>
              <w:pStyle w:val="ListParagraph"/>
              <w:numPr>
                <w:ilvl w:val="0"/>
                <w:numId w:val="4"/>
              </w:numPr>
              <w:ind w:left="144" w:hanging="144"/>
              <w:rPr>
                <w:rFonts w:ascii="Arial" w:hAnsi="Arial" w:cs="Arial"/>
                <w:sz w:val="24"/>
                <w:szCs w:val="24"/>
              </w:rPr>
            </w:pPr>
            <w:r>
              <w:rPr>
                <w:rFonts w:ascii="Arial" w:hAnsi="Arial" w:cs="Arial"/>
                <w:sz w:val="24"/>
                <w:szCs w:val="24"/>
              </w:rPr>
              <w:t xml:space="preserve">Jennifer Lorenzo: </w:t>
            </w:r>
            <w:r w:rsidR="00485C3D">
              <w:rPr>
                <w:rFonts w:ascii="Arial" w:hAnsi="Arial" w:cs="Arial"/>
                <w:sz w:val="24"/>
                <w:szCs w:val="24"/>
              </w:rPr>
              <w:t>Unnecessary, already in current statute.</w:t>
            </w:r>
          </w:p>
          <w:p w14:paraId="7FD59D63" w14:textId="04858912" w:rsidR="006563DA" w:rsidRPr="00E55F49" w:rsidRDefault="27B8AA8A" w:rsidP="004B30FF">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Adding “tank” for consistency with APSA </w:t>
            </w:r>
            <w:r w:rsidR="0072089C">
              <w:rPr>
                <w:rFonts w:ascii="Arial" w:hAnsi="Arial" w:cs="Arial"/>
                <w:sz w:val="24"/>
                <w:szCs w:val="24"/>
              </w:rPr>
              <w:t>term ‘tank facility’</w:t>
            </w:r>
            <w:r w:rsidRPr="00E55F49">
              <w:rPr>
                <w:rFonts w:ascii="Arial" w:hAnsi="Arial" w:cs="Arial"/>
                <w:sz w:val="24"/>
                <w:szCs w:val="24"/>
              </w:rPr>
              <w:t>.</w:t>
            </w:r>
          </w:p>
          <w:p w14:paraId="4A85FA18" w14:textId="116E19A6" w:rsidR="6B478754" w:rsidRDefault="6B478754" w:rsidP="5C961515">
            <w:pPr>
              <w:pStyle w:val="ListParagraph"/>
              <w:numPr>
                <w:ilvl w:val="0"/>
                <w:numId w:val="4"/>
              </w:numPr>
              <w:ind w:left="144" w:hanging="144"/>
              <w:rPr>
                <w:rFonts w:ascii="Arial" w:hAnsi="Arial" w:cs="Arial"/>
                <w:sz w:val="24"/>
                <w:szCs w:val="24"/>
              </w:rPr>
            </w:pPr>
            <w:r w:rsidRPr="00E55F49">
              <w:rPr>
                <w:rFonts w:ascii="Arial" w:hAnsi="Arial" w:cs="Arial"/>
                <w:sz w:val="24"/>
                <w:szCs w:val="24"/>
              </w:rPr>
              <w:t>Andy</w:t>
            </w:r>
            <w:r w:rsidR="00C7749B">
              <w:rPr>
                <w:rFonts w:ascii="Arial" w:hAnsi="Arial" w:cs="Arial"/>
                <w:sz w:val="24"/>
                <w:szCs w:val="24"/>
              </w:rPr>
              <w:t xml:space="preserve"> Dye</w:t>
            </w:r>
            <w:r w:rsidRPr="00E55F49">
              <w:rPr>
                <w:rFonts w:ascii="Arial" w:hAnsi="Arial" w:cs="Arial"/>
                <w:sz w:val="24"/>
                <w:szCs w:val="24"/>
              </w:rPr>
              <w:t xml:space="preserve">: </w:t>
            </w:r>
            <w:r w:rsidR="02C2B9A3" w:rsidRPr="00E55F49">
              <w:rPr>
                <w:rFonts w:ascii="Arial" w:hAnsi="Arial" w:cs="Arial"/>
                <w:sz w:val="24"/>
                <w:szCs w:val="24"/>
              </w:rPr>
              <w:t xml:space="preserve">Some </w:t>
            </w:r>
            <w:r w:rsidR="672EA53D" w:rsidRPr="00E55F49">
              <w:rPr>
                <w:rFonts w:ascii="Arial" w:hAnsi="Arial" w:cs="Arial"/>
                <w:sz w:val="24"/>
                <w:szCs w:val="24"/>
              </w:rPr>
              <w:t xml:space="preserve">CUPAs are still including </w:t>
            </w:r>
            <w:r w:rsidR="00585FC8">
              <w:rPr>
                <w:rFonts w:ascii="Arial" w:hAnsi="Arial" w:cs="Arial"/>
                <w:sz w:val="24"/>
                <w:szCs w:val="24"/>
              </w:rPr>
              <w:t>p</w:t>
            </w:r>
            <w:r w:rsidR="672EA53D" w:rsidRPr="00E55F49">
              <w:rPr>
                <w:rFonts w:ascii="Arial" w:hAnsi="Arial" w:cs="Arial"/>
                <w:sz w:val="24"/>
                <w:szCs w:val="24"/>
              </w:rPr>
              <w:t xml:space="preserve">etroleum </w:t>
            </w:r>
            <w:r w:rsidR="70B6C19B" w:rsidRPr="00E55F49">
              <w:rPr>
                <w:rFonts w:ascii="Arial" w:hAnsi="Arial" w:cs="Arial"/>
                <w:sz w:val="24"/>
                <w:szCs w:val="24"/>
              </w:rPr>
              <w:t xml:space="preserve">stored </w:t>
            </w:r>
            <w:r w:rsidR="672EA53D" w:rsidRPr="00E55F49">
              <w:rPr>
                <w:rFonts w:ascii="Arial" w:hAnsi="Arial" w:cs="Arial"/>
                <w:sz w:val="24"/>
                <w:szCs w:val="24"/>
              </w:rPr>
              <w:t xml:space="preserve">in USTs on their </w:t>
            </w:r>
            <w:r w:rsidR="3B51DF21" w:rsidRPr="00E55F49">
              <w:rPr>
                <w:rFonts w:ascii="Arial" w:hAnsi="Arial" w:cs="Arial"/>
                <w:sz w:val="24"/>
                <w:szCs w:val="24"/>
              </w:rPr>
              <w:t>APSA Facility</w:t>
            </w:r>
            <w:r w:rsidR="27FFB948" w:rsidRPr="00E55F49">
              <w:rPr>
                <w:rFonts w:ascii="Arial" w:hAnsi="Arial" w:cs="Arial"/>
                <w:sz w:val="24"/>
                <w:szCs w:val="24"/>
              </w:rPr>
              <w:t xml:space="preserve"> </w:t>
            </w:r>
            <w:r w:rsidR="5EB36D74" w:rsidRPr="00E55F49">
              <w:rPr>
                <w:rFonts w:ascii="Arial" w:hAnsi="Arial" w:cs="Arial"/>
                <w:sz w:val="24"/>
                <w:szCs w:val="24"/>
              </w:rPr>
              <w:t>Information submittal, even though it says</w:t>
            </w:r>
            <w:r w:rsidR="0072089C">
              <w:rPr>
                <w:rFonts w:ascii="Arial" w:hAnsi="Arial" w:cs="Arial"/>
                <w:sz w:val="24"/>
                <w:szCs w:val="24"/>
              </w:rPr>
              <w:t>,</w:t>
            </w:r>
            <w:r w:rsidR="5EB36D74" w:rsidRPr="00E55F49">
              <w:rPr>
                <w:rFonts w:ascii="Arial" w:hAnsi="Arial" w:cs="Arial"/>
                <w:sz w:val="24"/>
                <w:szCs w:val="24"/>
              </w:rPr>
              <w:t xml:space="preserve"> “Total </w:t>
            </w:r>
            <w:r w:rsidR="5EB36D74" w:rsidRPr="00E55F49">
              <w:rPr>
                <w:rFonts w:ascii="Arial" w:hAnsi="Arial" w:cs="Arial"/>
                <w:b/>
                <w:bCs/>
                <w:sz w:val="24"/>
                <w:szCs w:val="24"/>
              </w:rPr>
              <w:t xml:space="preserve">Aboveground </w:t>
            </w:r>
            <w:r w:rsidR="5EB36D74" w:rsidRPr="00E55F49">
              <w:rPr>
                <w:rFonts w:ascii="Arial" w:hAnsi="Arial" w:cs="Arial"/>
                <w:sz w:val="24"/>
                <w:szCs w:val="24"/>
              </w:rPr>
              <w:t>Storage Capacity of Petroleum”</w:t>
            </w:r>
            <w:r w:rsidR="1A703D6D" w:rsidRPr="00E55F49">
              <w:rPr>
                <w:rFonts w:ascii="Arial" w:hAnsi="Arial" w:cs="Arial"/>
                <w:sz w:val="24"/>
                <w:szCs w:val="24"/>
              </w:rPr>
              <w:t xml:space="preserve"> and has a tooltip with guidance.</w:t>
            </w:r>
            <w:r w:rsidR="00B3495E">
              <w:rPr>
                <w:rFonts w:ascii="Arial" w:hAnsi="Arial" w:cs="Arial"/>
                <w:sz w:val="24"/>
                <w:szCs w:val="24"/>
              </w:rPr>
              <w:t xml:space="preserve"> </w:t>
            </w:r>
            <w:r w:rsidR="00B3495E" w:rsidRPr="00B3495E">
              <w:rPr>
                <w:rFonts w:ascii="Arial" w:hAnsi="Arial" w:cs="Arial"/>
                <w:sz w:val="24"/>
                <w:szCs w:val="24"/>
              </w:rPr>
              <w:t>Would this language add clarification, or make things more confusing? "</w:t>
            </w:r>
            <w:proofErr w:type="gramStart"/>
            <w:r w:rsidR="00B3495E" w:rsidRPr="00B3495E">
              <w:rPr>
                <w:rFonts w:ascii="Arial" w:hAnsi="Arial" w:cs="Arial"/>
                <w:sz w:val="24"/>
                <w:szCs w:val="24"/>
              </w:rPr>
              <w:t>the</w:t>
            </w:r>
            <w:proofErr w:type="gramEnd"/>
            <w:r w:rsidR="00B3495E" w:rsidRPr="00B3495E">
              <w:rPr>
                <w:rFonts w:ascii="Arial" w:hAnsi="Arial" w:cs="Arial"/>
                <w:sz w:val="24"/>
                <w:szCs w:val="24"/>
              </w:rPr>
              <w:t xml:space="preserve"> total </w:t>
            </w:r>
            <w:r w:rsidR="00B3495E" w:rsidRPr="00B3495E">
              <w:rPr>
                <w:rFonts w:ascii="Arial" w:hAnsi="Arial" w:cs="Arial"/>
                <w:b/>
                <w:bCs/>
                <w:sz w:val="24"/>
                <w:szCs w:val="24"/>
              </w:rPr>
              <w:t xml:space="preserve">APSA regulated </w:t>
            </w:r>
            <w:r w:rsidR="00B3495E" w:rsidRPr="00B3495E">
              <w:rPr>
                <w:rFonts w:ascii="Arial" w:hAnsi="Arial" w:cs="Arial"/>
                <w:sz w:val="24"/>
                <w:szCs w:val="24"/>
              </w:rPr>
              <w:t>petroleum storage capacity of the tank facility</w:t>
            </w:r>
            <w:r w:rsidR="00B3495E">
              <w:rPr>
                <w:rFonts w:ascii="Arial" w:hAnsi="Arial" w:cs="Arial"/>
                <w:sz w:val="24"/>
                <w:szCs w:val="24"/>
              </w:rPr>
              <w:t xml:space="preserve">. </w:t>
            </w:r>
          </w:p>
          <w:p w14:paraId="55E7EA1E" w14:textId="6541F5D0" w:rsidR="00B3495E" w:rsidRPr="00E55F49" w:rsidRDefault="00B3495E" w:rsidP="5C961515">
            <w:pPr>
              <w:pStyle w:val="ListParagraph"/>
              <w:numPr>
                <w:ilvl w:val="0"/>
                <w:numId w:val="4"/>
              </w:numPr>
              <w:ind w:left="144" w:hanging="144"/>
              <w:rPr>
                <w:rFonts w:ascii="Arial" w:hAnsi="Arial" w:cs="Arial"/>
                <w:sz w:val="24"/>
                <w:szCs w:val="24"/>
              </w:rPr>
            </w:pPr>
            <w:r>
              <w:rPr>
                <w:rFonts w:ascii="Arial" w:hAnsi="Arial" w:cs="Arial"/>
                <w:sz w:val="24"/>
                <w:szCs w:val="24"/>
              </w:rPr>
              <w:lastRenderedPageBreak/>
              <w:t>Rob</w:t>
            </w:r>
            <w:r w:rsidR="00C7749B">
              <w:rPr>
                <w:rFonts w:ascii="Arial" w:hAnsi="Arial" w:cs="Arial"/>
                <w:sz w:val="24"/>
                <w:szCs w:val="24"/>
              </w:rPr>
              <w:t xml:space="preserve"> Ward</w:t>
            </w:r>
            <w:r>
              <w:rPr>
                <w:rFonts w:ascii="Arial" w:hAnsi="Arial" w:cs="Arial"/>
                <w:sz w:val="24"/>
                <w:szCs w:val="24"/>
              </w:rPr>
              <w:t xml:space="preserve">: </w:t>
            </w:r>
            <w:r w:rsidRPr="00B3495E">
              <w:rPr>
                <w:rFonts w:ascii="Arial" w:hAnsi="Arial" w:cs="Arial"/>
                <w:sz w:val="24"/>
                <w:szCs w:val="24"/>
              </w:rPr>
              <w:t xml:space="preserve">I think this is hard to fix because SPCC </w:t>
            </w:r>
            <w:r w:rsidR="006C2E69">
              <w:rPr>
                <w:rFonts w:ascii="Arial" w:hAnsi="Arial" w:cs="Arial"/>
                <w:sz w:val="24"/>
                <w:szCs w:val="24"/>
              </w:rPr>
              <w:t>P</w:t>
            </w:r>
            <w:r w:rsidRPr="00B3495E">
              <w:rPr>
                <w:rFonts w:ascii="Arial" w:hAnsi="Arial" w:cs="Arial"/>
                <w:sz w:val="24"/>
                <w:szCs w:val="24"/>
              </w:rPr>
              <w:t>lans still require USTs to be listed in some cases, and that could be part of the confusion. Saying “APSA-regulated” may not clear up the definition.</w:t>
            </w:r>
            <w:r>
              <w:rPr>
                <w:rFonts w:ascii="Arial" w:hAnsi="Arial" w:cs="Arial"/>
                <w:sz w:val="24"/>
                <w:szCs w:val="24"/>
              </w:rPr>
              <w:t xml:space="preserve"> </w:t>
            </w:r>
            <w:r w:rsidRPr="00B3495E">
              <w:rPr>
                <w:rFonts w:ascii="Arial" w:hAnsi="Arial" w:cs="Arial"/>
                <w:sz w:val="24"/>
                <w:szCs w:val="24"/>
              </w:rPr>
              <w:t>Perhaps another statement after this sentence stating that “tanks or containers excluded under HSC 25270.2(a) shall not be included here” would drive home the message?</w:t>
            </w:r>
          </w:p>
          <w:p w14:paraId="594A8CA3" w14:textId="77777777" w:rsidR="00BF6D75" w:rsidRPr="00E55F49" w:rsidRDefault="00BF6D75">
            <w:pPr>
              <w:rPr>
                <w:rFonts w:ascii="Arial" w:hAnsi="Arial" w:cs="Arial"/>
                <w:sz w:val="24"/>
                <w:szCs w:val="24"/>
              </w:rPr>
            </w:pPr>
          </w:p>
        </w:tc>
      </w:tr>
      <w:tr w:rsidR="000A52B7" w:rsidRPr="000A5FA5" w14:paraId="7C2D45B5" w14:textId="77777777" w:rsidTr="00BA3921">
        <w:tc>
          <w:tcPr>
            <w:tcW w:w="2324" w:type="dxa"/>
          </w:tcPr>
          <w:p w14:paraId="37035EC4" w14:textId="47DAA422" w:rsidR="00BF6D75" w:rsidRPr="00E55F49" w:rsidRDefault="004B30FF">
            <w:pPr>
              <w:rPr>
                <w:rFonts w:ascii="Arial" w:hAnsi="Arial" w:cs="Arial"/>
                <w:sz w:val="24"/>
                <w:szCs w:val="24"/>
                <w:u w:val="single"/>
              </w:rPr>
            </w:pPr>
            <w:r w:rsidRPr="00E55F49">
              <w:rPr>
                <w:rFonts w:ascii="Arial" w:hAnsi="Arial" w:cs="Arial"/>
                <w:color w:val="ED0000"/>
                <w:sz w:val="24"/>
                <w:szCs w:val="24"/>
                <w:u w:val="single"/>
              </w:rPr>
              <w:lastRenderedPageBreak/>
              <w:t>25270.6(a)(3)</w:t>
            </w:r>
          </w:p>
        </w:tc>
        <w:tc>
          <w:tcPr>
            <w:tcW w:w="7126" w:type="dxa"/>
          </w:tcPr>
          <w:p w14:paraId="1757596D" w14:textId="41AB5AEF" w:rsidR="00BF6D75" w:rsidRPr="00E55F49" w:rsidRDefault="004B30FF">
            <w:pPr>
              <w:rPr>
                <w:rFonts w:ascii="Arial" w:hAnsi="Arial" w:cs="Arial"/>
                <w:color w:val="FF0000"/>
                <w:sz w:val="24"/>
                <w:szCs w:val="24"/>
                <w:u w:val="single"/>
              </w:rPr>
            </w:pPr>
            <w:r w:rsidRPr="00E55F49">
              <w:rPr>
                <w:rFonts w:ascii="Arial" w:hAnsi="Arial" w:cs="Arial"/>
                <w:color w:val="ED0000"/>
                <w:sz w:val="24"/>
                <w:szCs w:val="24"/>
                <w:u w:val="single"/>
              </w:rPr>
              <w:t>A</w:t>
            </w:r>
            <w:r w:rsidR="00ED2078">
              <w:rPr>
                <w:rFonts w:ascii="Arial" w:hAnsi="Arial" w:cs="Arial"/>
                <w:color w:val="ED0000"/>
                <w:sz w:val="24"/>
                <w:szCs w:val="24"/>
                <w:u w:val="single"/>
              </w:rPr>
              <w:t>n owner or operator of a</w:t>
            </w:r>
            <w:r w:rsidRPr="00E55F49">
              <w:rPr>
                <w:rFonts w:ascii="Arial" w:hAnsi="Arial" w:cs="Arial"/>
                <w:color w:val="ED0000"/>
                <w:sz w:val="24"/>
                <w:szCs w:val="24"/>
                <w:u w:val="single"/>
              </w:rPr>
              <w:t xml:space="preserve"> tank facility shall submit </w:t>
            </w:r>
            <w:r w:rsidR="004B1852" w:rsidRPr="00E55F49">
              <w:rPr>
                <w:rFonts w:ascii="Arial" w:hAnsi="Arial" w:cs="Arial"/>
                <w:color w:val="ED0000"/>
                <w:sz w:val="24"/>
                <w:szCs w:val="24"/>
                <w:u w:val="single"/>
              </w:rPr>
              <w:t xml:space="preserve">to the statewide information management system </w:t>
            </w:r>
            <w:r w:rsidRPr="00E55F49">
              <w:rPr>
                <w:rFonts w:ascii="Arial" w:hAnsi="Arial" w:cs="Arial"/>
                <w:color w:val="ED0000"/>
                <w:sz w:val="24"/>
                <w:szCs w:val="24"/>
                <w:u w:val="single"/>
              </w:rPr>
              <w:t xml:space="preserve">an updated tank facility statement within 30 days of </w:t>
            </w:r>
            <w:r w:rsidR="006563DA" w:rsidRPr="00E55F49">
              <w:rPr>
                <w:rFonts w:ascii="Arial" w:hAnsi="Arial" w:cs="Arial"/>
                <w:color w:val="ED0000"/>
                <w:sz w:val="24"/>
                <w:szCs w:val="24"/>
                <w:u w:val="single"/>
              </w:rPr>
              <w:t xml:space="preserve">a new or used storage tank(s) storing petroleum being added to the tank facility or there is </w:t>
            </w:r>
            <w:r w:rsidRPr="00E55F49">
              <w:rPr>
                <w:rFonts w:ascii="Arial" w:hAnsi="Arial" w:cs="Arial"/>
                <w:color w:val="ED0000"/>
                <w:sz w:val="24"/>
                <w:szCs w:val="24"/>
                <w:u w:val="single"/>
              </w:rPr>
              <w:t xml:space="preserve">a significant modification </w:t>
            </w:r>
            <w:r w:rsidR="006563DA" w:rsidRPr="00E55F49">
              <w:rPr>
                <w:rFonts w:ascii="Arial" w:hAnsi="Arial" w:cs="Arial"/>
                <w:color w:val="ED0000"/>
                <w:sz w:val="24"/>
                <w:szCs w:val="24"/>
                <w:u w:val="single"/>
              </w:rPr>
              <w:t xml:space="preserve">to an aboveground storage tank </w:t>
            </w:r>
            <w:r w:rsidRPr="00E55F49">
              <w:rPr>
                <w:rFonts w:ascii="Arial" w:hAnsi="Arial" w:cs="Arial"/>
                <w:color w:val="ED0000"/>
                <w:sz w:val="24"/>
                <w:szCs w:val="24"/>
                <w:u w:val="single"/>
              </w:rPr>
              <w:t xml:space="preserve">as provided in </w:t>
            </w:r>
            <w:r w:rsidR="00E033D6">
              <w:rPr>
                <w:rFonts w:ascii="Arial" w:hAnsi="Arial" w:cs="Arial"/>
                <w:color w:val="ED0000"/>
                <w:sz w:val="24"/>
                <w:szCs w:val="24"/>
                <w:u w:val="single"/>
              </w:rPr>
              <w:t xml:space="preserve">Section </w:t>
            </w:r>
            <w:r w:rsidRPr="00E55F49">
              <w:rPr>
                <w:rFonts w:ascii="Arial" w:hAnsi="Arial" w:cs="Arial"/>
                <w:color w:val="ED0000"/>
                <w:sz w:val="24"/>
                <w:szCs w:val="24"/>
                <w:u w:val="single"/>
              </w:rPr>
              <w:t>25270.6(a)(1)</w:t>
            </w:r>
            <w:r w:rsidR="006563DA" w:rsidRPr="00E55F49">
              <w:rPr>
                <w:rFonts w:ascii="Arial" w:hAnsi="Arial" w:cs="Arial"/>
                <w:color w:val="ED0000"/>
                <w:sz w:val="24"/>
                <w:szCs w:val="24"/>
                <w:u w:val="single"/>
              </w:rPr>
              <w:t>.</w:t>
            </w:r>
          </w:p>
        </w:tc>
        <w:tc>
          <w:tcPr>
            <w:tcW w:w="5040" w:type="dxa"/>
          </w:tcPr>
          <w:p w14:paraId="3C69B801" w14:textId="1B6B0EAC" w:rsidR="006563DA" w:rsidRPr="00E55F49" w:rsidRDefault="006563DA" w:rsidP="006563DA">
            <w:pPr>
              <w:pStyle w:val="ListParagraph"/>
              <w:numPr>
                <w:ilvl w:val="0"/>
                <w:numId w:val="4"/>
              </w:numPr>
              <w:ind w:left="144" w:hanging="144"/>
              <w:rPr>
                <w:rFonts w:ascii="Arial" w:hAnsi="Arial" w:cs="Arial"/>
                <w:sz w:val="24"/>
                <w:szCs w:val="24"/>
              </w:rPr>
            </w:pPr>
            <w:r w:rsidRPr="00E55F49">
              <w:rPr>
                <w:rFonts w:ascii="Arial" w:hAnsi="Arial" w:cs="Arial"/>
                <w:sz w:val="24"/>
                <w:szCs w:val="24"/>
              </w:rPr>
              <w:t>CUPA</w:t>
            </w:r>
            <w:r w:rsidR="00AE57FF">
              <w:rPr>
                <w:rFonts w:ascii="Arial" w:hAnsi="Arial" w:cs="Arial"/>
                <w:sz w:val="24"/>
                <w:szCs w:val="24"/>
              </w:rPr>
              <w:t>s</w:t>
            </w:r>
            <w:r w:rsidRPr="00E55F49">
              <w:rPr>
                <w:rFonts w:ascii="Arial" w:hAnsi="Arial" w:cs="Arial"/>
                <w:sz w:val="24"/>
                <w:szCs w:val="24"/>
              </w:rPr>
              <w:t xml:space="preserve"> cannot require a permit for the installation or removal of an AST, so this will require the tank facility to notify the CUPA.</w:t>
            </w:r>
          </w:p>
          <w:p w14:paraId="7658A5C9" w14:textId="7C5C404E" w:rsidR="004B1852" w:rsidRPr="00E55F49" w:rsidRDefault="006E0FB9" w:rsidP="004D67E3">
            <w:pPr>
              <w:pStyle w:val="ListParagraph"/>
              <w:numPr>
                <w:ilvl w:val="0"/>
                <w:numId w:val="4"/>
              </w:numPr>
              <w:ind w:left="144" w:hanging="144"/>
              <w:rPr>
                <w:rFonts w:ascii="Arial" w:hAnsi="Arial" w:cs="Arial"/>
                <w:sz w:val="24"/>
                <w:szCs w:val="24"/>
              </w:rPr>
            </w:pPr>
            <w:r>
              <w:rPr>
                <w:rFonts w:ascii="Arial" w:hAnsi="Arial" w:cs="Arial"/>
                <w:sz w:val="24"/>
                <w:szCs w:val="24"/>
              </w:rPr>
              <w:t xml:space="preserve">Unknown: </w:t>
            </w:r>
            <w:r w:rsidR="77261606" w:rsidRPr="00E55F49">
              <w:rPr>
                <w:rFonts w:ascii="Arial" w:hAnsi="Arial" w:cs="Arial"/>
                <w:sz w:val="24"/>
                <w:szCs w:val="24"/>
              </w:rPr>
              <w:t xml:space="preserve">Updating the </w:t>
            </w:r>
            <w:r>
              <w:rPr>
                <w:rFonts w:ascii="Arial" w:hAnsi="Arial" w:cs="Arial"/>
                <w:sz w:val="24"/>
                <w:szCs w:val="24"/>
              </w:rPr>
              <w:t>HMBP</w:t>
            </w:r>
            <w:r w:rsidR="77261606" w:rsidRPr="00E55F49">
              <w:rPr>
                <w:rFonts w:ascii="Arial" w:hAnsi="Arial" w:cs="Arial"/>
                <w:sz w:val="24"/>
                <w:szCs w:val="24"/>
              </w:rPr>
              <w:t xml:space="preserve"> is not required for modifications to ASTs.</w:t>
            </w:r>
            <w:r w:rsidR="00803906">
              <w:rPr>
                <w:rFonts w:ascii="Arial" w:hAnsi="Arial" w:cs="Arial"/>
                <w:sz w:val="24"/>
                <w:szCs w:val="24"/>
              </w:rPr>
              <w:t xml:space="preserve"> </w:t>
            </w:r>
          </w:p>
          <w:p w14:paraId="24083E0A" w14:textId="3125AD7B" w:rsidR="004B1852" w:rsidRPr="00E55F49" w:rsidRDefault="0C6AFEBE" w:rsidP="004D67E3">
            <w:pPr>
              <w:pStyle w:val="ListParagraph"/>
              <w:numPr>
                <w:ilvl w:val="0"/>
                <w:numId w:val="4"/>
              </w:numPr>
              <w:ind w:left="144" w:hanging="144"/>
              <w:rPr>
                <w:rFonts w:ascii="Arial" w:hAnsi="Arial" w:cs="Arial"/>
                <w:sz w:val="24"/>
                <w:szCs w:val="24"/>
              </w:rPr>
            </w:pPr>
            <w:r w:rsidRPr="00E55F49">
              <w:rPr>
                <w:rFonts w:ascii="Arial" w:hAnsi="Arial" w:cs="Arial"/>
                <w:sz w:val="24"/>
                <w:szCs w:val="24"/>
              </w:rPr>
              <w:t>This would o</w:t>
            </w:r>
            <w:r w:rsidR="6C9426ED" w:rsidRPr="00E55F49">
              <w:rPr>
                <w:rFonts w:ascii="Arial" w:hAnsi="Arial" w:cs="Arial"/>
                <w:sz w:val="24"/>
                <w:szCs w:val="24"/>
              </w:rPr>
              <w:t>nly</w:t>
            </w:r>
            <w:r w:rsidR="7C7042CA" w:rsidRPr="00E55F49">
              <w:rPr>
                <w:rFonts w:ascii="Arial" w:hAnsi="Arial" w:cs="Arial"/>
                <w:sz w:val="24"/>
                <w:szCs w:val="24"/>
              </w:rPr>
              <w:t xml:space="preserve"> apply to</w:t>
            </w:r>
            <w:r w:rsidR="6C9426ED" w:rsidRPr="00E55F49">
              <w:rPr>
                <w:rFonts w:ascii="Arial" w:hAnsi="Arial" w:cs="Arial"/>
                <w:sz w:val="24"/>
                <w:szCs w:val="24"/>
              </w:rPr>
              <w:t xml:space="preserve"> tank facilities that are not subject to HMBP</w:t>
            </w:r>
            <w:r w:rsidR="480D6627" w:rsidRPr="00E55F49">
              <w:rPr>
                <w:rFonts w:ascii="Arial" w:hAnsi="Arial" w:cs="Arial"/>
                <w:sz w:val="24"/>
                <w:szCs w:val="24"/>
              </w:rPr>
              <w:t>, s</w:t>
            </w:r>
            <w:r w:rsidR="6C9426ED" w:rsidRPr="00E55F49">
              <w:rPr>
                <w:rFonts w:ascii="Arial" w:hAnsi="Arial" w:cs="Arial"/>
                <w:sz w:val="24"/>
                <w:szCs w:val="24"/>
              </w:rPr>
              <w:t xml:space="preserve">uch as federal </w:t>
            </w:r>
            <w:r w:rsidR="1EE15CB8" w:rsidRPr="00E55F49">
              <w:rPr>
                <w:rFonts w:ascii="Arial" w:hAnsi="Arial" w:cs="Arial"/>
                <w:sz w:val="24"/>
                <w:szCs w:val="24"/>
              </w:rPr>
              <w:t xml:space="preserve">or </w:t>
            </w:r>
            <w:r w:rsidR="6C9426ED" w:rsidRPr="00E55F49">
              <w:rPr>
                <w:rFonts w:ascii="Arial" w:hAnsi="Arial" w:cs="Arial"/>
                <w:sz w:val="24"/>
                <w:szCs w:val="24"/>
              </w:rPr>
              <w:t>residential facilities</w:t>
            </w:r>
            <w:r w:rsidR="4912094C" w:rsidRPr="00E55F49">
              <w:rPr>
                <w:rFonts w:ascii="Arial" w:hAnsi="Arial" w:cs="Arial"/>
                <w:sz w:val="24"/>
                <w:szCs w:val="24"/>
              </w:rPr>
              <w:t>.</w:t>
            </w:r>
          </w:p>
          <w:p w14:paraId="7EF8CFEA" w14:textId="6DA24C06" w:rsidR="004B1852" w:rsidRPr="00E55F49" w:rsidRDefault="049AD9F4" w:rsidP="004D67E3">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The HMBP requirements under 25508.1 would cover any addition </w:t>
            </w:r>
            <w:r w:rsidR="0B57F58F" w:rsidRPr="00E55F49">
              <w:rPr>
                <w:rFonts w:ascii="Arial" w:hAnsi="Arial" w:cs="Arial"/>
                <w:sz w:val="24"/>
                <w:szCs w:val="24"/>
              </w:rPr>
              <w:t>of a</w:t>
            </w:r>
            <w:r w:rsidR="0C20C187" w:rsidRPr="00E55F49">
              <w:rPr>
                <w:rFonts w:ascii="Arial" w:hAnsi="Arial" w:cs="Arial"/>
                <w:sz w:val="24"/>
                <w:szCs w:val="24"/>
              </w:rPr>
              <w:t xml:space="preserve"> 55-gallon or larger</w:t>
            </w:r>
            <w:r w:rsidR="0B57F58F" w:rsidRPr="00E55F49">
              <w:rPr>
                <w:rFonts w:ascii="Arial" w:hAnsi="Arial" w:cs="Arial"/>
                <w:sz w:val="24"/>
                <w:szCs w:val="24"/>
              </w:rPr>
              <w:t xml:space="preserve"> storage tank</w:t>
            </w:r>
            <w:r w:rsidR="6DAC2B46" w:rsidRPr="00E55F49">
              <w:rPr>
                <w:rFonts w:ascii="Arial" w:hAnsi="Arial" w:cs="Arial"/>
                <w:sz w:val="24"/>
                <w:szCs w:val="24"/>
              </w:rPr>
              <w:t>/container</w:t>
            </w:r>
            <w:r w:rsidRPr="00E55F49">
              <w:rPr>
                <w:rFonts w:ascii="Arial" w:hAnsi="Arial" w:cs="Arial"/>
                <w:sz w:val="24"/>
                <w:szCs w:val="24"/>
              </w:rPr>
              <w:t>, including changes in petroleum content.</w:t>
            </w:r>
            <w:r w:rsidR="0463A642" w:rsidRPr="00E55F49">
              <w:rPr>
                <w:rFonts w:ascii="Arial" w:hAnsi="Arial" w:cs="Arial"/>
                <w:sz w:val="24"/>
                <w:szCs w:val="24"/>
              </w:rPr>
              <w:t xml:space="preserve"> Tank facilities </w:t>
            </w:r>
            <w:r w:rsidR="31021ED5" w:rsidRPr="00E55F49">
              <w:rPr>
                <w:rFonts w:ascii="Arial" w:hAnsi="Arial" w:cs="Arial"/>
                <w:sz w:val="24"/>
                <w:szCs w:val="24"/>
              </w:rPr>
              <w:t xml:space="preserve">that submit HMBP in lieu of TFS </w:t>
            </w:r>
            <w:r w:rsidR="0463A642" w:rsidRPr="00E55F49">
              <w:rPr>
                <w:rFonts w:ascii="Arial" w:hAnsi="Arial" w:cs="Arial"/>
                <w:sz w:val="24"/>
                <w:szCs w:val="24"/>
              </w:rPr>
              <w:t>are required to comply with 25508.1 requirements, per 25270.6(a)(2).</w:t>
            </w:r>
            <w:r w:rsidRPr="00E55F49">
              <w:rPr>
                <w:rFonts w:ascii="Arial" w:hAnsi="Arial" w:cs="Arial"/>
                <w:sz w:val="24"/>
                <w:szCs w:val="24"/>
              </w:rPr>
              <w:t xml:space="preserve"> </w:t>
            </w:r>
          </w:p>
          <w:p w14:paraId="5E67F821" w14:textId="1E65993F" w:rsidR="004B1852" w:rsidRDefault="1E606F61">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If </w:t>
            </w:r>
            <w:proofErr w:type="gramStart"/>
            <w:r w:rsidRPr="00E55F49">
              <w:rPr>
                <w:rFonts w:ascii="Arial" w:hAnsi="Arial" w:cs="Arial"/>
                <w:sz w:val="24"/>
                <w:szCs w:val="24"/>
              </w:rPr>
              <w:t>still</w:t>
            </w:r>
            <w:proofErr w:type="gramEnd"/>
            <w:r w:rsidRPr="00E55F49">
              <w:rPr>
                <w:rFonts w:ascii="Arial" w:hAnsi="Arial" w:cs="Arial"/>
                <w:sz w:val="24"/>
                <w:szCs w:val="24"/>
              </w:rPr>
              <w:t xml:space="preserve"> necessary to cover tank facilities that are not subject to HMBP requirements, then </w:t>
            </w:r>
            <w:proofErr w:type="gramStart"/>
            <w:r w:rsidR="480FEB70" w:rsidRPr="00E55F49">
              <w:rPr>
                <w:rFonts w:ascii="Arial" w:hAnsi="Arial" w:cs="Arial"/>
                <w:sz w:val="24"/>
                <w:szCs w:val="24"/>
              </w:rPr>
              <w:t>proposal</w:t>
            </w:r>
            <w:proofErr w:type="gramEnd"/>
            <w:r w:rsidR="480FEB70" w:rsidRPr="00E55F49">
              <w:rPr>
                <w:rFonts w:ascii="Arial" w:hAnsi="Arial" w:cs="Arial"/>
                <w:sz w:val="24"/>
                <w:szCs w:val="24"/>
              </w:rPr>
              <w:t xml:space="preserve"> </w:t>
            </w:r>
            <w:r w:rsidR="40E37011" w:rsidRPr="00E55F49">
              <w:rPr>
                <w:rFonts w:ascii="Arial" w:hAnsi="Arial" w:cs="Arial"/>
                <w:sz w:val="24"/>
                <w:szCs w:val="24"/>
              </w:rPr>
              <w:t xml:space="preserve">needs </w:t>
            </w:r>
            <w:r w:rsidR="758954A6" w:rsidRPr="00E55F49">
              <w:rPr>
                <w:rFonts w:ascii="Arial" w:hAnsi="Arial" w:cs="Arial"/>
                <w:sz w:val="24"/>
                <w:szCs w:val="24"/>
              </w:rPr>
              <w:t>additional edits</w:t>
            </w:r>
            <w:r w:rsidR="63C0355C" w:rsidRPr="00E55F49">
              <w:rPr>
                <w:rFonts w:ascii="Arial" w:hAnsi="Arial" w:cs="Arial"/>
                <w:sz w:val="24"/>
                <w:szCs w:val="24"/>
              </w:rPr>
              <w:t>, including adding owner or operator before tank facility</w:t>
            </w:r>
            <w:r w:rsidR="3FCB544D" w:rsidRPr="00E55F49">
              <w:rPr>
                <w:rFonts w:ascii="Arial" w:hAnsi="Arial" w:cs="Arial"/>
                <w:sz w:val="24"/>
                <w:szCs w:val="24"/>
              </w:rPr>
              <w:t xml:space="preserve">. </w:t>
            </w:r>
            <w:r w:rsidR="1A19848D" w:rsidRPr="00E55F49">
              <w:rPr>
                <w:rFonts w:ascii="Arial" w:hAnsi="Arial" w:cs="Arial"/>
                <w:sz w:val="24"/>
                <w:szCs w:val="24"/>
              </w:rPr>
              <w:t>Excluding facility name, address and contact person</w:t>
            </w:r>
            <w:r w:rsidR="4E8FD006" w:rsidRPr="00E55F49">
              <w:rPr>
                <w:rFonts w:ascii="Arial" w:hAnsi="Arial" w:cs="Arial"/>
                <w:sz w:val="24"/>
                <w:szCs w:val="24"/>
              </w:rPr>
              <w:t>,</w:t>
            </w:r>
            <w:r w:rsidR="1A19848D" w:rsidRPr="00E55F49">
              <w:rPr>
                <w:rFonts w:ascii="Arial" w:hAnsi="Arial" w:cs="Arial"/>
                <w:sz w:val="24"/>
                <w:szCs w:val="24"/>
              </w:rPr>
              <w:t xml:space="preserve"> which are generally captured under HMBP changes</w:t>
            </w:r>
            <w:r w:rsidR="261690D6" w:rsidRPr="00E55F49">
              <w:rPr>
                <w:rFonts w:ascii="Arial" w:hAnsi="Arial" w:cs="Arial"/>
                <w:sz w:val="24"/>
                <w:szCs w:val="24"/>
              </w:rPr>
              <w:t xml:space="preserve"> under the Facility Information (business </w:t>
            </w:r>
            <w:r w:rsidR="261690D6" w:rsidRPr="00E55F49">
              <w:rPr>
                <w:rFonts w:ascii="Arial" w:hAnsi="Arial" w:cs="Arial"/>
                <w:sz w:val="24"/>
                <w:szCs w:val="24"/>
              </w:rPr>
              <w:lastRenderedPageBreak/>
              <w:t xml:space="preserve">owner/operator </w:t>
            </w:r>
            <w:r w:rsidR="00EF3858">
              <w:rPr>
                <w:rFonts w:ascii="Arial" w:hAnsi="Arial" w:cs="Arial"/>
                <w:sz w:val="24"/>
                <w:szCs w:val="24"/>
              </w:rPr>
              <w:t>identification</w:t>
            </w:r>
            <w:r w:rsidR="261690D6" w:rsidRPr="00E55F49">
              <w:rPr>
                <w:rFonts w:ascii="Arial" w:hAnsi="Arial" w:cs="Arial"/>
                <w:sz w:val="24"/>
                <w:szCs w:val="24"/>
              </w:rPr>
              <w:t>)</w:t>
            </w:r>
            <w:r w:rsidR="2A6EDFD5" w:rsidRPr="00E55F49">
              <w:rPr>
                <w:rFonts w:ascii="Arial" w:hAnsi="Arial" w:cs="Arial"/>
                <w:sz w:val="24"/>
                <w:szCs w:val="24"/>
              </w:rPr>
              <w:t xml:space="preserve">, only other TFS components are total </w:t>
            </w:r>
            <w:r w:rsidR="3BB3DEFC" w:rsidRPr="00E55F49">
              <w:rPr>
                <w:rFonts w:ascii="Arial" w:hAnsi="Arial" w:cs="Arial"/>
                <w:sz w:val="24"/>
                <w:szCs w:val="24"/>
              </w:rPr>
              <w:t xml:space="preserve">petroleum </w:t>
            </w:r>
            <w:r w:rsidR="2A6EDFD5" w:rsidRPr="00E55F49">
              <w:rPr>
                <w:rFonts w:ascii="Arial" w:hAnsi="Arial" w:cs="Arial"/>
                <w:sz w:val="24"/>
                <w:szCs w:val="24"/>
              </w:rPr>
              <w:t>storage capacity of facility, and location and contents of eac</w:t>
            </w:r>
            <w:r w:rsidR="7BAB2F1F" w:rsidRPr="00E55F49">
              <w:rPr>
                <w:rFonts w:ascii="Arial" w:hAnsi="Arial" w:cs="Arial"/>
                <w:sz w:val="24"/>
                <w:szCs w:val="24"/>
              </w:rPr>
              <w:t>h</w:t>
            </w:r>
            <w:r w:rsidR="2A6EDFD5" w:rsidRPr="00E55F49">
              <w:rPr>
                <w:rFonts w:ascii="Arial" w:hAnsi="Arial" w:cs="Arial"/>
                <w:sz w:val="24"/>
                <w:szCs w:val="24"/>
              </w:rPr>
              <w:t xml:space="preserve"> tank that is &gt;10k</w:t>
            </w:r>
            <w:r w:rsidR="67EF9F3A" w:rsidRPr="00E55F49">
              <w:rPr>
                <w:rFonts w:ascii="Arial" w:hAnsi="Arial" w:cs="Arial"/>
                <w:sz w:val="24"/>
                <w:szCs w:val="24"/>
              </w:rPr>
              <w:t xml:space="preserve"> gallons</w:t>
            </w:r>
            <w:r w:rsidR="2A6EDFD5" w:rsidRPr="00E55F49">
              <w:rPr>
                <w:rFonts w:ascii="Arial" w:hAnsi="Arial" w:cs="Arial"/>
                <w:sz w:val="24"/>
                <w:szCs w:val="24"/>
              </w:rPr>
              <w:t>.</w:t>
            </w:r>
            <w:r w:rsidR="547A1FFA" w:rsidRPr="00E55F49">
              <w:rPr>
                <w:rFonts w:ascii="Arial" w:hAnsi="Arial" w:cs="Arial"/>
                <w:sz w:val="24"/>
                <w:szCs w:val="24"/>
              </w:rPr>
              <w:t xml:space="preserve"> </w:t>
            </w:r>
            <w:r w:rsidR="00465946">
              <w:rPr>
                <w:rFonts w:ascii="Arial" w:hAnsi="Arial" w:cs="Arial"/>
                <w:sz w:val="24"/>
                <w:szCs w:val="24"/>
              </w:rPr>
              <w:t>The TFS does not require disclos</w:t>
            </w:r>
            <w:r w:rsidR="003213DF">
              <w:rPr>
                <w:rFonts w:ascii="Arial" w:hAnsi="Arial" w:cs="Arial"/>
                <w:sz w:val="24"/>
                <w:szCs w:val="24"/>
              </w:rPr>
              <w:t>ing</w:t>
            </w:r>
            <w:r w:rsidR="00465946">
              <w:rPr>
                <w:rFonts w:ascii="Arial" w:hAnsi="Arial" w:cs="Arial"/>
                <w:sz w:val="24"/>
                <w:szCs w:val="24"/>
              </w:rPr>
              <w:t xml:space="preserve"> tank</w:t>
            </w:r>
            <w:r w:rsidR="00A76971">
              <w:rPr>
                <w:rFonts w:ascii="Arial" w:hAnsi="Arial" w:cs="Arial"/>
                <w:sz w:val="24"/>
                <w:szCs w:val="24"/>
              </w:rPr>
              <w:t xml:space="preserve">s </w:t>
            </w:r>
            <w:r w:rsidR="000A4B6A">
              <w:rPr>
                <w:rFonts w:ascii="Arial" w:hAnsi="Arial" w:cs="Arial"/>
                <w:sz w:val="24"/>
                <w:szCs w:val="24"/>
              </w:rPr>
              <w:t xml:space="preserve">equal to or less than </w:t>
            </w:r>
            <w:r w:rsidR="0043072B">
              <w:rPr>
                <w:rFonts w:ascii="Arial" w:hAnsi="Arial" w:cs="Arial"/>
                <w:sz w:val="24"/>
                <w:szCs w:val="24"/>
              </w:rPr>
              <w:t>10,000 gallons.</w:t>
            </w:r>
          </w:p>
          <w:p w14:paraId="1F7AEC9F" w14:textId="1529EBB8" w:rsidR="0086725A" w:rsidRDefault="0086725A">
            <w:pPr>
              <w:pStyle w:val="ListParagraph"/>
              <w:numPr>
                <w:ilvl w:val="0"/>
                <w:numId w:val="4"/>
              </w:numPr>
              <w:ind w:left="144" w:hanging="144"/>
              <w:rPr>
                <w:rFonts w:ascii="Arial" w:hAnsi="Arial" w:cs="Arial"/>
                <w:sz w:val="24"/>
                <w:szCs w:val="24"/>
              </w:rPr>
            </w:pPr>
            <w:r>
              <w:rPr>
                <w:rFonts w:ascii="Arial" w:hAnsi="Arial" w:cs="Arial"/>
                <w:sz w:val="24"/>
                <w:szCs w:val="24"/>
              </w:rPr>
              <w:t>Rob</w:t>
            </w:r>
            <w:r w:rsidR="00C7749B">
              <w:rPr>
                <w:rFonts w:ascii="Arial" w:hAnsi="Arial" w:cs="Arial"/>
                <w:sz w:val="24"/>
                <w:szCs w:val="24"/>
              </w:rPr>
              <w:t xml:space="preserve"> Ward</w:t>
            </w:r>
            <w:r>
              <w:rPr>
                <w:rFonts w:ascii="Arial" w:hAnsi="Arial" w:cs="Arial"/>
                <w:sz w:val="24"/>
                <w:szCs w:val="24"/>
              </w:rPr>
              <w:t xml:space="preserve">: </w:t>
            </w:r>
            <w:r w:rsidRPr="0086725A">
              <w:rPr>
                <w:rFonts w:ascii="Arial" w:hAnsi="Arial" w:cs="Arial"/>
                <w:sz w:val="24"/>
                <w:szCs w:val="24"/>
              </w:rPr>
              <w:t xml:space="preserve">With the current </w:t>
            </w:r>
            <w:r>
              <w:rPr>
                <w:rFonts w:ascii="Arial" w:hAnsi="Arial" w:cs="Arial"/>
                <w:sz w:val="24"/>
                <w:szCs w:val="24"/>
              </w:rPr>
              <w:t>[</w:t>
            </w:r>
            <w:r w:rsidR="00840D27">
              <w:rPr>
                <w:rFonts w:ascii="Arial" w:hAnsi="Arial" w:cs="Arial"/>
                <w:sz w:val="24"/>
                <w:szCs w:val="24"/>
              </w:rPr>
              <w:t xml:space="preserve">suggested </w:t>
            </w:r>
            <w:r>
              <w:rPr>
                <w:rFonts w:ascii="Arial" w:hAnsi="Arial" w:cs="Arial"/>
                <w:sz w:val="24"/>
                <w:szCs w:val="24"/>
              </w:rPr>
              <w:t xml:space="preserve">proposed] </w:t>
            </w:r>
            <w:r w:rsidRPr="0086725A">
              <w:rPr>
                <w:rFonts w:ascii="Arial" w:hAnsi="Arial" w:cs="Arial"/>
                <w:sz w:val="24"/>
                <w:szCs w:val="24"/>
              </w:rPr>
              <w:t xml:space="preserve">language, it is unclear how they would </w:t>
            </w:r>
            <w:proofErr w:type="gramStart"/>
            <w:r w:rsidRPr="0086725A">
              <w:rPr>
                <w:rFonts w:ascii="Arial" w:hAnsi="Arial" w:cs="Arial"/>
                <w:sz w:val="24"/>
                <w:szCs w:val="24"/>
              </w:rPr>
              <w:t>notify</w:t>
            </w:r>
            <w:proofErr w:type="gramEnd"/>
            <w:r w:rsidRPr="0086725A">
              <w:rPr>
                <w:rFonts w:ascii="Arial" w:hAnsi="Arial" w:cs="Arial"/>
                <w:sz w:val="24"/>
                <w:szCs w:val="24"/>
              </w:rPr>
              <w:t xml:space="preserve"> of a significant modification. Unless we provide more </w:t>
            </w:r>
            <w:proofErr w:type="gramStart"/>
            <w:r w:rsidRPr="0086725A">
              <w:rPr>
                <w:rFonts w:ascii="Arial" w:hAnsi="Arial" w:cs="Arial"/>
                <w:sz w:val="24"/>
                <w:szCs w:val="24"/>
              </w:rPr>
              <w:t>clarification</w:t>
            </w:r>
            <w:proofErr w:type="gramEnd"/>
            <w:r w:rsidRPr="0086725A">
              <w:rPr>
                <w:rFonts w:ascii="Arial" w:hAnsi="Arial" w:cs="Arial"/>
                <w:sz w:val="24"/>
                <w:szCs w:val="24"/>
              </w:rPr>
              <w:t xml:space="preserve"> I think this is confusing as written.</w:t>
            </w:r>
            <w:r>
              <w:rPr>
                <w:rFonts w:ascii="Arial" w:hAnsi="Arial" w:cs="Arial"/>
                <w:sz w:val="24"/>
                <w:szCs w:val="24"/>
              </w:rPr>
              <w:t xml:space="preserve"> </w:t>
            </w:r>
            <w:r w:rsidRPr="0086725A">
              <w:rPr>
                <w:rFonts w:ascii="Arial" w:hAnsi="Arial" w:cs="Arial"/>
                <w:sz w:val="24"/>
                <w:szCs w:val="24"/>
              </w:rPr>
              <w:t>I think this language would be an improvement but still lacks clarity on expectations around “significant modification</w:t>
            </w:r>
            <w:r w:rsidR="00E12746">
              <w:rPr>
                <w:rFonts w:ascii="Arial" w:hAnsi="Arial" w:cs="Arial"/>
                <w:sz w:val="24"/>
                <w:szCs w:val="24"/>
              </w:rPr>
              <w:t>.</w:t>
            </w:r>
            <w:r w:rsidRPr="0086725A">
              <w:rPr>
                <w:rFonts w:ascii="Arial" w:hAnsi="Arial" w:cs="Arial"/>
                <w:sz w:val="24"/>
                <w:szCs w:val="24"/>
              </w:rPr>
              <w:t>”</w:t>
            </w:r>
            <w:r w:rsidR="0077315C">
              <w:rPr>
                <w:rFonts w:ascii="Arial" w:hAnsi="Arial" w:cs="Arial"/>
                <w:sz w:val="24"/>
                <w:szCs w:val="24"/>
              </w:rPr>
              <w:t xml:space="preserve"> </w:t>
            </w:r>
          </w:p>
          <w:p w14:paraId="6F411F65" w14:textId="1DB3C6C6" w:rsidR="0077315C" w:rsidRDefault="0077315C">
            <w:pPr>
              <w:pStyle w:val="ListParagraph"/>
              <w:numPr>
                <w:ilvl w:val="0"/>
                <w:numId w:val="4"/>
              </w:numPr>
              <w:ind w:left="144" w:hanging="144"/>
              <w:rPr>
                <w:rFonts w:ascii="Arial" w:hAnsi="Arial" w:cs="Arial"/>
                <w:sz w:val="24"/>
                <w:szCs w:val="24"/>
              </w:rPr>
            </w:pPr>
            <w:r>
              <w:rPr>
                <w:rFonts w:ascii="Arial" w:hAnsi="Arial" w:cs="Arial"/>
                <w:sz w:val="24"/>
                <w:szCs w:val="24"/>
              </w:rPr>
              <w:t>Jennifer</w:t>
            </w:r>
            <w:r w:rsidR="00B763F9">
              <w:rPr>
                <w:rFonts w:ascii="Arial" w:hAnsi="Arial" w:cs="Arial"/>
                <w:sz w:val="24"/>
                <w:szCs w:val="24"/>
              </w:rPr>
              <w:t xml:space="preserve"> Lorenzo</w:t>
            </w:r>
            <w:r>
              <w:rPr>
                <w:rFonts w:ascii="Arial" w:hAnsi="Arial" w:cs="Arial"/>
                <w:sz w:val="24"/>
                <w:szCs w:val="24"/>
              </w:rPr>
              <w:t>: The term ‘significant modification</w:t>
            </w:r>
            <w:r w:rsidR="007C7A9D">
              <w:rPr>
                <w:rFonts w:ascii="Arial" w:hAnsi="Arial" w:cs="Arial"/>
                <w:sz w:val="24"/>
                <w:szCs w:val="24"/>
              </w:rPr>
              <w:t>’ is</w:t>
            </w:r>
            <w:r w:rsidR="00FF2BF8">
              <w:rPr>
                <w:rFonts w:ascii="Arial" w:hAnsi="Arial" w:cs="Arial"/>
                <w:sz w:val="24"/>
                <w:szCs w:val="24"/>
              </w:rPr>
              <w:t xml:space="preserve"> already </w:t>
            </w:r>
            <w:r w:rsidR="007C7A9D">
              <w:rPr>
                <w:rFonts w:ascii="Arial" w:hAnsi="Arial" w:cs="Arial"/>
                <w:sz w:val="24"/>
                <w:szCs w:val="24"/>
              </w:rPr>
              <w:t>in APSA. 25270.6(a)(1) s</w:t>
            </w:r>
            <w:r w:rsidR="00FF2BF8">
              <w:rPr>
                <w:rFonts w:ascii="Arial" w:hAnsi="Arial" w:cs="Arial"/>
                <w:sz w:val="24"/>
                <w:szCs w:val="24"/>
              </w:rPr>
              <w:t>tates, “</w:t>
            </w:r>
            <w:r w:rsidR="00FF2BF8" w:rsidRPr="00FF2BF8">
              <w:rPr>
                <w:rFonts w:ascii="Arial" w:hAnsi="Arial" w:cs="Arial"/>
                <w:sz w:val="24"/>
                <w:szCs w:val="24"/>
              </w:rPr>
              <w:t>For purposes of this section, a significant modification includes, but is not limited to, altering existing storage tanks or changing spill prevention or containment methods.</w:t>
            </w:r>
            <w:r w:rsidR="00FF2BF8">
              <w:rPr>
                <w:rFonts w:ascii="Arial" w:hAnsi="Arial" w:cs="Arial"/>
                <w:sz w:val="24"/>
                <w:szCs w:val="24"/>
              </w:rPr>
              <w:t>”</w:t>
            </w:r>
          </w:p>
          <w:p w14:paraId="0D0E645F" w14:textId="46176C64" w:rsidR="00BF20B3" w:rsidRPr="00E55F49" w:rsidRDefault="00BF20B3" w:rsidP="00E55F49">
            <w:pPr>
              <w:rPr>
                <w:rFonts w:ascii="Arial" w:hAnsi="Arial" w:cs="Arial"/>
                <w:sz w:val="24"/>
                <w:szCs w:val="24"/>
              </w:rPr>
            </w:pPr>
          </w:p>
        </w:tc>
      </w:tr>
      <w:tr w:rsidR="00085543" w:rsidRPr="00404795" w14:paraId="30581CED" w14:textId="77777777" w:rsidTr="00BA3921">
        <w:trPr>
          <w:trHeight w:val="300"/>
        </w:trPr>
        <w:tc>
          <w:tcPr>
            <w:tcW w:w="2324" w:type="dxa"/>
          </w:tcPr>
          <w:p w14:paraId="241DA8D0" w14:textId="29024C2B" w:rsidR="00452FDB" w:rsidRPr="00E55F49" w:rsidRDefault="00452FDB" w:rsidP="00404795">
            <w:pPr>
              <w:rPr>
                <w:rFonts w:ascii="Arial" w:hAnsi="Arial" w:cs="Arial"/>
                <w:color w:val="ED0000"/>
                <w:sz w:val="24"/>
                <w:szCs w:val="24"/>
                <w:u w:val="single"/>
              </w:rPr>
            </w:pPr>
            <w:r w:rsidRPr="00E55F49">
              <w:rPr>
                <w:rFonts w:ascii="Arial" w:hAnsi="Arial" w:cs="Arial"/>
                <w:color w:val="ED0000"/>
                <w:sz w:val="24"/>
                <w:szCs w:val="24"/>
                <w:u w:val="single"/>
              </w:rPr>
              <w:lastRenderedPageBreak/>
              <w:t>25270.7(a)?</w:t>
            </w:r>
          </w:p>
        </w:tc>
        <w:tc>
          <w:tcPr>
            <w:tcW w:w="7126" w:type="dxa"/>
          </w:tcPr>
          <w:p w14:paraId="20E1F008" w14:textId="39291867" w:rsidR="00452FDB" w:rsidRPr="00E55F49" w:rsidRDefault="00452FDB" w:rsidP="00404795">
            <w:pPr>
              <w:rPr>
                <w:rFonts w:ascii="Arial" w:hAnsi="Arial" w:cs="Arial"/>
                <w:color w:val="ED0000"/>
                <w:sz w:val="24"/>
                <w:szCs w:val="24"/>
                <w:u w:val="single"/>
              </w:rPr>
            </w:pPr>
            <w:r w:rsidRPr="00E55F49">
              <w:rPr>
                <w:rFonts w:ascii="Arial" w:hAnsi="Arial" w:cs="Arial"/>
                <w:color w:val="ED0000"/>
                <w:sz w:val="24"/>
                <w:szCs w:val="24"/>
                <w:u w:val="single"/>
              </w:rPr>
              <w:t xml:space="preserve">Each owner or operator </w:t>
            </w:r>
            <w:r w:rsidR="00973B29">
              <w:rPr>
                <w:rFonts w:ascii="Arial" w:hAnsi="Arial" w:cs="Arial"/>
                <w:color w:val="ED0000"/>
                <w:sz w:val="24"/>
                <w:szCs w:val="24"/>
                <w:u w:val="single"/>
              </w:rPr>
              <w:t xml:space="preserve">of a tank facility </w:t>
            </w:r>
            <w:r w:rsidRPr="00E55F49">
              <w:rPr>
                <w:rFonts w:ascii="Arial" w:hAnsi="Arial" w:cs="Arial"/>
                <w:color w:val="ED0000"/>
                <w:sz w:val="24"/>
                <w:szCs w:val="24"/>
                <w:u w:val="single"/>
              </w:rPr>
              <w:t xml:space="preserve">shall notify the </w:t>
            </w:r>
            <w:r w:rsidR="0002764F">
              <w:rPr>
                <w:rFonts w:ascii="Arial" w:hAnsi="Arial" w:cs="Arial"/>
                <w:color w:val="ED0000"/>
                <w:sz w:val="24"/>
                <w:szCs w:val="24"/>
                <w:u w:val="single"/>
              </w:rPr>
              <w:t>UPA</w:t>
            </w:r>
            <w:r w:rsidRPr="00E55F49">
              <w:rPr>
                <w:rFonts w:ascii="Arial" w:hAnsi="Arial" w:cs="Arial"/>
                <w:color w:val="ED0000"/>
                <w:sz w:val="24"/>
                <w:szCs w:val="24"/>
                <w:u w:val="single"/>
              </w:rPr>
              <w:t xml:space="preserve"> prior to </w:t>
            </w:r>
            <w:r w:rsidR="00954C97">
              <w:rPr>
                <w:rFonts w:ascii="Arial" w:hAnsi="Arial" w:cs="Arial"/>
                <w:color w:val="ED0000"/>
                <w:sz w:val="24"/>
                <w:szCs w:val="24"/>
                <w:u w:val="single"/>
              </w:rPr>
              <w:t xml:space="preserve">aboveground storage </w:t>
            </w:r>
            <w:r w:rsidRPr="00E55F49">
              <w:rPr>
                <w:rFonts w:ascii="Arial" w:hAnsi="Arial" w:cs="Arial"/>
                <w:color w:val="ED0000"/>
                <w:sz w:val="24"/>
                <w:szCs w:val="24"/>
                <w:u w:val="single"/>
              </w:rPr>
              <w:t xml:space="preserve">tank installation of their application of a fire code permit, and also upon approval of the </w:t>
            </w:r>
            <w:r w:rsidR="00DB7CEA">
              <w:rPr>
                <w:rFonts w:ascii="Arial" w:hAnsi="Arial" w:cs="Arial"/>
                <w:color w:val="ED0000"/>
                <w:sz w:val="24"/>
                <w:szCs w:val="24"/>
                <w:u w:val="single"/>
              </w:rPr>
              <w:t xml:space="preserve">fire code </w:t>
            </w:r>
            <w:r w:rsidRPr="00E55F49">
              <w:rPr>
                <w:rFonts w:ascii="Arial" w:hAnsi="Arial" w:cs="Arial"/>
                <w:color w:val="ED0000"/>
                <w:sz w:val="24"/>
                <w:szCs w:val="24"/>
                <w:u w:val="single"/>
              </w:rPr>
              <w:t xml:space="preserve">permit. </w:t>
            </w:r>
          </w:p>
        </w:tc>
        <w:tc>
          <w:tcPr>
            <w:tcW w:w="5040" w:type="dxa"/>
          </w:tcPr>
          <w:p w14:paraId="04D661F3" w14:textId="0C95F9BD" w:rsidR="00452FDB" w:rsidRDefault="00452FDB" w:rsidP="00404795">
            <w:pPr>
              <w:rPr>
                <w:rFonts w:ascii="Arial" w:hAnsi="Arial" w:cs="Arial"/>
                <w:sz w:val="24"/>
                <w:szCs w:val="24"/>
              </w:rPr>
            </w:pPr>
            <w:r w:rsidRPr="00404795">
              <w:rPr>
                <w:rFonts w:ascii="Arial" w:hAnsi="Arial" w:cs="Arial"/>
                <w:sz w:val="24"/>
                <w:szCs w:val="24"/>
              </w:rPr>
              <w:t xml:space="preserve">What about requiring </w:t>
            </w:r>
            <w:proofErr w:type="gramStart"/>
            <w:r w:rsidRPr="00404795">
              <w:rPr>
                <w:rFonts w:ascii="Arial" w:hAnsi="Arial" w:cs="Arial"/>
                <w:sz w:val="24"/>
                <w:szCs w:val="24"/>
              </w:rPr>
              <w:t>tank</w:t>
            </w:r>
            <w:proofErr w:type="gramEnd"/>
            <w:r w:rsidRPr="00404795">
              <w:rPr>
                <w:rFonts w:ascii="Arial" w:hAnsi="Arial" w:cs="Arial"/>
                <w:sz w:val="24"/>
                <w:szCs w:val="24"/>
              </w:rPr>
              <w:t xml:space="preserve"> facility o</w:t>
            </w:r>
            <w:r w:rsidR="00954C97">
              <w:rPr>
                <w:rFonts w:ascii="Arial" w:hAnsi="Arial" w:cs="Arial"/>
                <w:sz w:val="24"/>
                <w:szCs w:val="24"/>
              </w:rPr>
              <w:t xml:space="preserve">wner or </w:t>
            </w:r>
            <w:r w:rsidRPr="00404795">
              <w:rPr>
                <w:rFonts w:ascii="Arial" w:hAnsi="Arial" w:cs="Arial"/>
                <w:sz w:val="24"/>
                <w:szCs w:val="24"/>
              </w:rPr>
              <w:t>o</w:t>
            </w:r>
            <w:r w:rsidR="00954C97">
              <w:rPr>
                <w:rFonts w:ascii="Arial" w:hAnsi="Arial" w:cs="Arial"/>
                <w:sz w:val="24"/>
                <w:szCs w:val="24"/>
              </w:rPr>
              <w:t>perator</w:t>
            </w:r>
            <w:r w:rsidRPr="00404795">
              <w:rPr>
                <w:rFonts w:ascii="Arial" w:hAnsi="Arial" w:cs="Arial"/>
                <w:sz w:val="24"/>
                <w:szCs w:val="24"/>
              </w:rPr>
              <w:t xml:space="preserve"> to provide documentation of new AST installations, which includes a copy of the fire code permit</w:t>
            </w:r>
            <w:r w:rsidR="0072750C">
              <w:rPr>
                <w:rFonts w:ascii="Arial" w:hAnsi="Arial" w:cs="Arial"/>
                <w:sz w:val="24"/>
                <w:szCs w:val="24"/>
              </w:rPr>
              <w:t>?</w:t>
            </w:r>
          </w:p>
          <w:p w14:paraId="16C22CCA" w14:textId="65AB40C5" w:rsidR="006A4F4D" w:rsidRPr="00404795" w:rsidRDefault="006A4F4D" w:rsidP="00404795">
            <w:pPr>
              <w:rPr>
                <w:rFonts w:ascii="Arial" w:hAnsi="Arial" w:cs="Arial"/>
                <w:sz w:val="24"/>
                <w:szCs w:val="24"/>
              </w:rPr>
            </w:pPr>
            <w:r>
              <w:rPr>
                <w:rFonts w:ascii="Arial" w:hAnsi="Arial" w:cs="Arial"/>
                <w:sz w:val="24"/>
                <w:szCs w:val="24"/>
              </w:rPr>
              <w:t>Only applies to tank facilities subject to or will be subject to APSA.</w:t>
            </w:r>
          </w:p>
        </w:tc>
      </w:tr>
      <w:tr w:rsidR="00085543" w:rsidRPr="000A5FA5" w14:paraId="4DB013DE" w14:textId="77777777" w:rsidTr="00BA3921">
        <w:tc>
          <w:tcPr>
            <w:tcW w:w="2324" w:type="dxa"/>
          </w:tcPr>
          <w:p w14:paraId="70E378C3" w14:textId="709A7597" w:rsidR="00BF6D75" w:rsidRPr="00E55F49" w:rsidRDefault="45E0BCC1">
            <w:pPr>
              <w:rPr>
                <w:rFonts w:ascii="Arial" w:hAnsi="Arial" w:cs="Arial"/>
                <w:sz w:val="24"/>
                <w:szCs w:val="24"/>
                <w:u w:val="single"/>
              </w:rPr>
            </w:pPr>
            <w:r w:rsidRPr="00E55F49">
              <w:rPr>
                <w:rFonts w:ascii="Arial" w:hAnsi="Arial" w:cs="Arial"/>
                <w:color w:val="ED0000"/>
                <w:sz w:val="24"/>
                <w:szCs w:val="24"/>
                <w:u w:val="single"/>
              </w:rPr>
              <w:t>25270.</w:t>
            </w:r>
            <w:r w:rsidR="00452FDB">
              <w:rPr>
                <w:rFonts w:ascii="Arial" w:hAnsi="Arial" w:cs="Arial"/>
                <w:color w:val="ED0000"/>
                <w:sz w:val="24"/>
                <w:szCs w:val="24"/>
                <w:u w:val="single"/>
              </w:rPr>
              <w:t>7(b)-(c)</w:t>
            </w:r>
          </w:p>
        </w:tc>
        <w:tc>
          <w:tcPr>
            <w:tcW w:w="7126" w:type="dxa"/>
          </w:tcPr>
          <w:p w14:paraId="6BEFB0B0" w14:textId="7CFDD960" w:rsidR="00BF6D75" w:rsidRPr="00E55F49" w:rsidRDefault="45E0BCC1">
            <w:pPr>
              <w:rPr>
                <w:rFonts w:ascii="Arial" w:hAnsi="Arial" w:cs="Arial"/>
                <w:color w:val="ED0000"/>
                <w:sz w:val="24"/>
                <w:szCs w:val="24"/>
                <w:u w:val="single"/>
              </w:rPr>
            </w:pPr>
            <w:r w:rsidRPr="00E55F49">
              <w:rPr>
                <w:rFonts w:ascii="Arial" w:hAnsi="Arial" w:cs="Arial"/>
                <w:color w:val="ED0000"/>
                <w:sz w:val="24"/>
                <w:szCs w:val="24"/>
                <w:u w:val="single"/>
              </w:rPr>
              <w:t>(a)</w:t>
            </w:r>
            <w:r w:rsidR="0094431C" w:rsidRPr="00E55F49">
              <w:rPr>
                <w:rFonts w:ascii="Arial" w:hAnsi="Arial" w:cs="Arial"/>
                <w:color w:val="ED0000"/>
                <w:sz w:val="24"/>
                <w:szCs w:val="24"/>
                <w:u w:val="single"/>
              </w:rPr>
              <w:t xml:space="preserve"> </w:t>
            </w:r>
            <w:r w:rsidRPr="00E55F49">
              <w:rPr>
                <w:rFonts w:ascii="Arial" w:hAnsi="Arial" w:cs="Arial"/>
                <w:color w:val="ED0000"/>
                <w:sz w:val="24"/>
                <w:szCs w:val="24"/>
                <w:u w:val="single"/>
              </w:rPr>
              <w:t xml:space="preserve">No person shall abandon </w:t>
            </w:r>
            <w:r w:rsidR="3647C999" w:rsidRPr="00E55F49">
              <w:rPr>
                <w:rFonts w:ascii="Arial" w:hAnsi="Arial" w:cs="Arial"/>
                <w:color w:val="ED0000"/>
                <w:sz w:val="24"/>
                <w:szCs w:val="24"/>
                <w:u w:val="single"/>
              </w:rPr>
              <w:t xml:space="preserve">or permanently close </w:t>
            </w:r>
            <w:r w:rsidRPr="00E55F49">
              <w:rPr>
                <w:rFonts w:ascii="Arial" w:hAnsi="Arial" w:cs="Arial"/>
                <w:color w:val="ED0000"/>
                <w:sz w:val="24"/>
                <w:szCs w:val="24"/>
                <w:u w:val="single"/>
              </w:rPr>
              <w:t>an aboveground st</w:t>
            </w:r>
            <w:r w:rsidR="6C0001F7" w:rsidRPr="00E55F49">
              <w:rPr>
                <w:rFonts w:ascii="Arial" w:hAnsi="Arial" w:cs="Arial"/>
                <w:color w:val="ED0000"/>
                <w:sz w:val="24"/>
                <w:szCs w:val="24"/>
                <w:u w:val="single"/>
              </w:rPr>
              <w:t>orage tank</w:t>
            </w:r>
            <w:r w:rsidR="59B37FDF" w:rsidRPr="00E55F49">
              <w:rPr>
                <w:rFonts w:ascii="Arial" w:hAnsi="Arial" w:cs="Arial"/>
                <w:color w:val="ED0000"/>
                <w:sz w:val="24"/>
                <w:szCs w:val="24"/>
                <w:u w:val="single"/>
              </w:rPr>
              <w:t>, connecting lines,</w:t>
            </w:r>
            <w:r w:rsidR="6C0001F7" w:rsidRPr="00E55F49">
              <w:rPr>
                <w:rFonts w:ascii="Arial" w:hAnsi="Arial" w:cs="Arial"/>
                <w:color w:val="ED0000"/>
                <w:sz w:val="24"/>
                <w:szCs w:val="24"/>
                <w:u w:val="single"/>
              </w:rPr>
              <w:t xml:space="preserve"> or </w:t>
            </w:r>
            <w:r w:rsidR="0A4C46C4" w:rsidRPr="00E55F49">
              <w:rPr>
                <w:rFonts w:ascii="Arial" w:hAnsi="Arial" w:cs="Arial"/>
                <w:color w:val="ED0000"/>
                <w:sz w:val="24"/>
                <w:szCs w:val="24"/>
                <w:u w:val="single"/>
              </w:rPr>
              <w:t>tank facility, except as provided in this section.</w:t>
            </w:r>
          </w:p>
          <w:p w14:paraId="0794E457" w14:textId="443C3FFF" w:rsidR="00BF6D75" w:rsidRPr="00E55F49" w:rsidRDefault="0A4C46C4">
            <w:pPr>
              <w:rPr>
                <w:rFonts w:ascii="Arial" w:hAnsi="Arial" w:cs="Arial"/>
                <w:color w:val="ED0000"/>
                <w:sz w:val="24"/>
                <w:szCs w:val="24"/>
                <w:u w:val="single"/>
              </w:rPr>
            </w:pPr>
            <w:r w:rsidRPr="00E55F49">
              <w:rPr>
                <w:rFonts w:ascii="Arial" w:hAnsi="Arial" w:cs="Arial"/>
                <w:color w:val="ED0000"/>
                <w:sz w:val="24"/>
                <w:szCs w:val="24"/>
                <w:u w:val="single"/>
              </w:rPr>
              <w:lastRenderedPageBreak/>
              <w:t>(b)</w:t>
            </w:r>
            <w:r w:rsidR="006820D5" w:rsidRPr="00E55F49">
              <w:rPr>
                <w:rFonts w:ascii="Arial" w:hAnsi="Arial" w:cs="Arial"/>
                <w:color w:val="ED0000"/>
                <w:sz w:val="24"/>
                <w:szCs w:val="24"/>
                <w:u w:val="single"/>
              </w:rPr>
              <w:t xml:space="preserve"> </w:t>
            </w:r>
            <w:r w:rsidR="6637928A" w:rsidRPr="00E55F49">
              <w:rPr>
                <w:rFonts w:ascii="Arial" w:hAnsi="Arial" w:cs="Arial"/>
                <w:color w:val="ED0000"/>
                <w:sz w:val="24"/>
                <w:szCs w:val="24"/>
                <w:u w:val="single"/>
              </w:rPr>
              <w:t>No person shall permanently close an aboveground storage tank</w:t>
            </w:r>
            <w:r w:rsidR="1C4062F6" w:rsidRPr="00E55F49">
              <w:rPr>
                <w:rFonts w:ascii="Arial" w:hAnsi="Arial" w:cs="Arial"/>
                <w:color w:val="ED0000"/>
                <w:sz w:val="24"/>
                <w:szCs w:val="24"/>
                <w:u w:val="single"/>
              </w:rPr>
              <w:t>, connecting lines,</w:t>
            </w:r>
            <w:r w:rsidR="6637928A" w:rsidRPr="00E55F49">
              <w:rPr>
                <w:rFonts w:ascii="Arial" w:hAnsi="Arial" w:cs="Arial"/>
                <w:color w:val="ED0000"/>
                <w:sz w:val="24"/>
                <w:szCs w:val="24"/>
                <w:u w:val="single"/>
              </w:rPr>
              <w:t xml:space="preserve"> or tank facility unless the person undertakes all of the following actions:</w:t>
            </w:r>
          </w:p>
          <w:p w14:paraId="1A65E144" w14:textId="3F1D9E85" w:rsidR="00BF6D75" w:rsidRPr="00E55F49" w:rsidRDefault="6637928A">
            <w:pPr>
              <w:rPr>
                <w:rFonts w:ascii="Arial" w:hAnsi="Arial" w:cs="Arial"/>
                <w:color w:val="ED0000"/>
                <w:sz w:val="24"/>
                <w:szCs w:val="24"/>
                <w:u w:val="single"/>
              </w:rPr>
            </w:pPr>
            <w:r w:rsidRPr="00E55F49">
              <w:rPr>
                <w:rFonts w:ascii="Arial" w:hAnsi="Arial" w:cs="Arial"/>
                <w:color w:val="ED0000"/>
                <w:sz w:val="24"/>
                <w:szCs w:val="24"/>
                <w:u w:val="single"/>
              </w:rPr>
              <w:t xml:space="preserve">(1) Demonstrates to the </w:t>
            </w:r>
            <w:r w:rsidR="00360E7C">
              <w:rPr>
                <w:rFonts w:ascii="Arial" w:hAnsi="Arial" w:cs="Arial"/>
                <w:color w:val="ED0000"/>
                <w:sz w:val="24"/>
                <w:szCs w:val="24"/>
                <w:u w:val="single"/>
              </w:rPr>
              <w:t>UPA</w:t>
            </w:r>
            <w:r w:rsidRPr="00E55F49">
              <w:rPr>
                <w:rFonts w:ascii="Arial" w:hAnsi="Arial" w:cs="Arial"/>
                <w:color w:val="ED0000"/>
                <w:sz w:val="24"/>
                <w:szCs w:val="24"/>
                <w:u w:val="single"/>
              </w:rPr>
              <w:t xml:space="preserve"> that all residual amoun</w:t>
            </w:r>
            <w:r w:rsidR="41D47A38" w:rsidRPr="00E55F49">
              <w:rPr>
                <w:rFonts w:ascii="Arial" w:hAnsi="Arial" w:cs="Arial"/>
                <w:color w:val="ED0000"/>
                <w:sz w:val="24"/>
                <w:szCs w:val="24"/>
                <w:u w:val="single"/>
              </w:rPr>
              <w:t>t</w:t>
            </w:r>
            <w:r w:rsidRPr="00E55F49">
              <w:rPr>
                <w:rFonts w:ascii="Arial" w:hAnsi="Arial" w:cs="Arial"/>
                <w:color w:val="ED0000"/>
                <w:sz w:val="24"/>
                <w:szCs w:val="24"/>
                <w:u w:val="single"/>
              </w:rPr>
              <w:t xml:space="preserve">s of the petroleum which were stored in the aboveground </w:t>
            </w:r>
            <w:r w:rsidR="005158B7">
              <w:rPr>
                <w:rFonts w:ascii="Arial" w:hAnsi="Arial" w:cs="Arial"/>
                <w:color w:val="ED0000"/>
                <w:sz w:val="24"/>
                <w:szCs w:val="24"/>
                <w:u w:val="single"/>
              </w:rPr>
              <w:t xml:space="preserve">storage </w:t>
            </w:r>
            <w:r w:rsidRPr="00E55F49">
              <w:rPr>
                <w:rFonts w:ascii="Arial" w:hAnsi="Arial" w:cs="Arial"/>
                <w:color w:val="ED0000"/>
                <w:sz w:val="24"/>
                <w:szCs w:val="24"/>
                <w:u w:val="single"/>
              </w:rPr>
              <w:t>tank or tank facility prior to its closure have been removed</w:t>
            </w:r>
            <w:r w:rsidR="12FF70B5" w:rsidRPr="00E55F49">
              <w:rPr>
                <w:rFonts w:ascii="Arial" w:hAnsi="Arial" w:cs="Arial"/>
                <w:color w:val="ED0000"/>
                <w:sz w:val="24"/>
                <w:szCs w:val="24"/>
                <w:u w:val="single"/>
              </w:rPr>
              <w:t xml:space="preserve"> and</w:t>
            </w:r>
            <w:r w:rsidRPr="00E55F49">
              <w:rPr>
                <w:rFonts w:ascii="Arial" w:hAnsi="Arial" w:cs="Arial"/>
                <w:color w:val="ED0000"/>
                <w:sz w:val="24"/>
                <w:szCs w:val="24"/>
                <w:u w:val="single"/>
              </w:rPr>
              <w:t xml:space="preserve"> p</w:t>
            </w:r>
            <w:r w:rsidR="01E53A1E" w:rsidRPr="00E55F49">
              <w:rPr>
                <w:rFonts w:ascii="Arial" w:hAnsi="Arial" w:cs="Arial"/>
                <w:color w:val="ED0000"/>
                <w:sz w:val="24"/>
                <w:szCs w:val="24"/>
                <w:u w:val="single"/>
              </w:rPr>
              <w:t xml:space="preserve">roperly disposed of. </w:t>
            </w:r>
          </w:p>
          <w:p w14:paraId="79CD1BD7" w14:textId="15BA09E0" w:rsidR="00BF6D75" w:rsidRPr="00E55F49" w:rsidRDefault="687470C4">
            <w:pPr>
              <w:rPr>
                <w:rFonts w:ascii="Arial" w:hAnsi="Arial" w:cs="Arial"/>
                <w:color w:val="ED0000"/>
                <w:sz w:val="24"/>
                <w:szCs w:val="24"/>
                <w:u w:val="single"/>
              </w:rPr>
            </w:pPr>
            <w:r w:rsidRPr="00E55F49">
              <w:rPr>
                <w:rFonts w:ascii="Arial" w:hAnsi="Arial" w:cs="Arial"/>
                <w:color w:val="ED0000"/>
                <w:sz w:val="24"/>
                <w:szCs w:val="24"/>
                <w:u w:val="single"/>
              </w:rPr>
              <w:t>(2)</w:t>
            </w:r>
            <w:r w:rsidR="00D626DE" w:rsidRPr="00E55F49">
              <w:rPr>
                <w:rFonts w:ascii="Arial" w:hAnsi="Arial" w:cs="Arial"/>
                <w:color w:val="ED0000"/>
                <w:sz w:val="24"/>
                <w:szCs w:val="24"/>
                <w:u w:val="single"/>
              </w:rPr>
              <w:t xml:space="preserve"> </w:t>
            </w:r>
            <w:r w:rsidRPr="00E55F49">
              <w:rPr>
                <w:rFonts w:ascii="Arial" w:hAnsi="Arial" w:cs="Arial"/>
                <w:color w:val="ED0000"/>
                <w:sz w:val="24"/>
                <w:szCs w:val="24"/>
                <w:u w:val="single"/>
              </w:rPr>
              <w:t>A</w:t>
            </w:r>
            <w:r w:rsidR="5DB0FA78" w:rsidRPr="00E55F49">
              <w:rPr>
                <w:rFonts w:ascii="Arial" w:hAnsi="Arial" w:cs="Arial"/>
                <w:color w:val="ED0000"/>
                <w:sz w:val="24"/>
                <w:szCs w:val="24"/>
                <w:u w:val="single"/>
              </w:rPr>
              <w:t>ll connecting lines and piping have been disconnected from the aboveground</w:t>
            </w:r>
            <w:r w:rsidR="00E671C6">
              <w:rPr>
                <w:rFonts w:ascii="Arial" w:hAnsi="Arial" w:cs="Arial"/>
                <w:color w:val="ED0000"/>
                <w:sz w:val="24"/>
                <w:szCs w:val="24"/>
                <w:u w:val="single"/>
              </w:rPr>
              <w:t xml:space="preserve"> storage</w:t>
            </w:r>
            <w:r w:rsidR="5DB0FA78" w:rsidRPr="00E55F49">
              <w:rPr>
                <w:rFonts w:ascii="Arial" w:hAnsi="Arial" w:cs="Arial"/>
                <w:color w:val="ED0000"/>
                <w:sz w:val="24"/>
                <w:szCs w:val="24"/>
                <w:u w:val="single"/>
              </w:rPr>
              <w:t xml:space="preserve"> tank and blanked off, all valves except for ventilation valves have been close</w:t>
            </w:r>
            <w:r w:rsidR="64B40230" w:rsidRPr="00E55F49">
              <w:rPr>
                <w:rFonts w:ascii="Arial" w:hAnsi="Arial" w:cs="Arial"/>
                <w:color w:val="ED0000"/>
                <w:sz w:val="24"/>
                <w:szCs w:val="24"/>
                <w:u w:val="single"/>
              </w:rPr>
              <w:t>d and locked, and conspicuous signs have been posted on each aboveground</w:t>
            </w:r>
            <w:r w:rsidR="00E671C6">
              <w:rPr>
                <w:rFonts w:ascii="Arial" w:hAnsi="Arial" w:cs="Arial"/>
                <w:color w:val="ED0000"/>
                <w:sz w:val="24"/>
                <w:szCs w:val="24"/>
                <w:u w:val="single"/>
              </w:rPr>
              <w:t xml:space="preserve"> storage</w:t>
            </w:r>
            <w:r w:rsidR="64B40230" w:rsidRPr="00E55F49">
              <w:rPr>
                <w:rFonts w:ascii="Arial" w:hAnsi="Arial" w:cs="Arial"/>
                <w:color w:val="ED0000"/>
                <w:sz w:val="24"/>
                <w:szCs w:val="24"/>
                <w:u w:val="single"/>
              </w:rPr>
              <w:t xml:space="preserve"> tank stating that it is a permanently closed with the</w:t>
            </w:r>
            <w:r w:rsidR="0D245697" w:rsidRPr="00E55F49">
              <w:rPr>
                <w:rFonts w:ascii="Arial" w:hAnsi="Arial" w:cs="Arial"/>
                <w:color w:val="ED0000"/>
                <w:sz w:val="24"/>
                <w:szCs w:val="24"/>
                <w:u w:val="single"/>
              </w:rPr>
              <w:t xml:space="preserve"> date of closure. </w:t>
            </w:r>
          </w:p>
          <w:p w14:paraId="619CB6AA" w14:textId="7F717581" w:rsidR="00BF6D75" w:rsidRPr="00E55F49" w:rsidRDefault="0D245697">
            <w:pPr>
              <w:rPr>
                <w:rFonts w:ascii="Arial" w:hAnsi="Arial" w:cs="Arial"/>
                <w:sz w:val="24"/>
                <w:szCs w:val="24"/>
              </w:rPr>
            </w:pPr>
            <w:r w:rsidRPr="00E55F49">
              <w:rPr>
                <w:rFonts w:ascii="Arial" w:hAnsi="Arial" w:cs="Arial"/>
                <w:color w:val="ED0000"/>
                <w:sz w:val="24"/>
                <w:szCs w:val="24"/>
                <w:u w:val="single"/>
              </w:rPr>
              <w:t>(</w:t>
            </w:r>
            <w:r w:rsidR="0A6592ED" w:rsidRPr="00E55F49">
              <w:rPr>
                <w:rFonts w:ascii="Arial" w:hAnsi="Arial" w:cs="Arial"/>
                <w:color w:val="ED0000"/>
                <w:sz w:val="24"/>
                <w:szCs w:val="24"/>
                <w:u w:val="single"/>
              </w:rPr>
              <w:t>3</w:t>
            </w:r>
            <w:r w:rsidRPr="00E55F49">
              <w:rPr>
                <w:rFonts w:ascii="Arial" w:hAnsi="Arial" w:cs="Arial"/>
                <w:color w:val="ED0000"/>
                <w:sz w:val="24"/>
                <w:szCs w:val="24"/>
                <w:u w:val="single"/>
              </w:rPr>
              <w:t>)</w:t>
            </w:r>
            <w:r w:rsidR="658977F1" w:rsidRPr="00E55F49">
              <w:rPr>
                <w:rFonts w:ascii="Arial" w:hAnsi="Arial" w:cs="Arial"/>
                <w:color w:val="ED0000"/>
                <w:sz w:val="24"/>
                <w:szCs w:val="24"/>
                <w:u w:val="single"/>
              </w:rPr>
              <w:t xml:space="preserve"> </w:t>
            </w:r>
            <w:r w:rsidRPr="00E55F49">
              <w:rPr>
                <w:rFonts w:ascii="Arial" w:hAnsi="Arial" w:cs="Arial"/>
                <w:color w:val="ED0000"/>
                <w:sz w:val="24"/>
                <w:szCs w:val="24"/>
                <w:u w:val="single"/>
              </w:rPr>
              <w:t xml:space="preserve">Demonstrates to the </w:t>
            </w:r>
            <w:r w:rsidR="00360E7C">
              <w:rPr>
                <w:rFonts w:ascii="Arial" w:hAnsi="Arial" w:cs="Arial"/>
                <w:color w:val="ED0000"/>
                <w:sz w:val="24"/>
                <w:szCs w:val="24"/>
                <w:u w:val="single"/>
              </w:rPr>
              <w:t>UPA</w:t>
            </w:r>
            <w:r w:rsidR="758D3021" w:rsidRPr="00E55F49">
              <w:rPr>
                <w:rFonts w:ascii="Arial" w:hAnsi="Arial" w:cs="Arial"/>
                <w:color w:val="ED0000"/>
                <w:sz w:val="24"/>
                <w:szCs w:val="24"/>
                <w:u w:val="single"/>
              </w:rPr>
              <w:t xml:space="preserve"> that the tank facility has been investigated to determine if there are any present, or were past, releases, and if so, that appropriate corrective or remedial actions have been taken.</w:t>
            </w:r>
            <w:r w:rsidR="758D3021" w:rsidRPr="00E55F49">
              <w:rPr>
                <w:rFonts w:ascii="Arial" w:hAnsi="Arial" w:cs="Arial"/>
                <w:color w:val="ED0000"/>
                <w:sz w:val="24"/>
                <w:szCs w:val="24"/>
              </w:rPr>
              <w:t xml:space="preserve"> </w:t>
            </w:r>
          </w:p>
        </w:tc>
        <w:tc>
          <w:tcPr>
            <w:tcW w:w="5040" w:type="dxa"/>
          </w:tcPr>
          <w:p w14:paraId="0C467F83" w14:textId="7C3BF889" w:rsidR="00BF6D75" w:rsidRPr="00E55F49" w:rsidRDefault="6637928A">
            <w:pPr>
              <w:rPr>
                <w:rFonts w:ascii="Arial" w:hAnsi="Arial" w:cs="Arial"/>
                <w:sz w:val="24"/>
                <w:szCs w:val="24"/>
              </w:rPr>
            </w:pPr>
            <w:r w:rsidRPr="00E55F49">
              <w:rPr>
                <w:rFonts w:ascii="Arial" w:hAnsi="Arial" w:cs="Arial"/>
                <w:sz w:val="24"/>
                <w:szCs w:val="24"/>
              </w:rPr>
              <w:lastRenderedPageBreak/>
              <w:t>Consistent with UST requirements (HSC 25298)</w:t>
            </w:r>
            <w:r w:rsidR="00602D1E">
              <w:rPr>
                <w:rFonts w:ascii="Arial" w:hAnsi="Arial" w:cs="Arial"/>
                <w:sz w:val="24"/>
                <w:szCs w:val="24"/>
              </w:rPr>
              <w:t xml:space="preserve">. </w:t>
            </w:r>
            <w:proofErr w:type="gramStart"/>
            <w:r w:rsidR="07E7F8AC" w:rsidRPr="00E55F49">
              <w:rPr>
                <w:rFonts w:ascii="Arial" w:hAnsi="Arial" w:cs="Arial"/>
                <w:sz w:val="24"/>
                <w:szCs w:val="24"/>
              </w:rPr>
              <w:t>Did</w:t>
            </w:r>
            <w:proofErr w:type="gramEnd"/>
            <w:r w:rsidR="07E7F8AC" w:rsidRPr="00E55F49">
              <w:rPr>
                <w:rFonts w:ascii="Arial" w:hAnsi="Arial" w:cs="Arial"/>
                <w:sz w:val="24"/>
                <w:szCs w:val="24"/>
              </w:rPr>
              <w:t xml:space="preserve"> not include 25298(b) because temporary closure is not APSA/SPCC applicable</w:t>
            </w:r>
            <w:r w:rsidR="00132106">
              <w:rPr>
                <w:rFonts w:ascii="Arial" w:hAnsi="Arial" w:cs="Arial"/>
                <w:sz w:val="24"/>
                <w:szCs w:val="24"/>
              </w:rPr>
              <w:t>.</w:t>
            </w:r>
            <w:r w:rsidR="00602D1E">
              <w:rPr>
                <w:rFonts w:ascii="Arial" w:hAnsi="Arial" w:cs="Arial"/>
                <w:sz w:val="24"/>
                <w:szCs w:val="24"/>
              </w:rPr>
              <w:t xml:space="preserve"> </w:t>
            </w:r>
            <w:proofErr w:type="gramStart"/>
            <w:r w:rsidR="51222C37" w:rsidRPr="00E55F49">
              <w:rPr>
                <w:rFonts w:ascii="Arial" w:hAnsi="Arial" w:cs="Arial"/>
                <w:sz w:val="24"/>
                <w:szCs w:val="24"/>
              </w:rPr>
              <w:t>Did</w:t>
            </w:r>
            <w:proofErr w:type="gramEnd"/>
            <w:r w:rsidR="51222C37" w:rsidRPr="00E55F49">
              <w:rPr>
                <w:rFonts w:ascii="Arial" w:hAnsi="Arial" w:cs="Arial"/>
                <w:sz w:val="24"/>
                <w:szCs w:val="24"/>
              </w:rPr>
              <w:t xml:space="preserve"> not include 25298(c)(3) because once permanently closed, it is no </w:t>
            </w:r>
            <w:r w:rsidR="51222C37" w:rsidRPr="00E55F49">
              <w:rPr>
                <w:rFonts w:ascii="Arial" w:hAnsi="Arial" w:cs="Arial"/>
                <w:sz w:val="24"/>
                <w:szCs w:val="24"/>
              </w:rPr>
              <w:lastRenderedPageBreak/>
              <w:t>longer applicable to APSA to be able to require maintenance</w:t>
            </w:r>
            <w:r w:rsidR="00602D1E">
              <w:rPr>
                <w:rFonts w:ascii="Arial" w:hAnsi="Arial" w:cs="Arial"/>
                <w:sz w:val="24"/>
                <w:szCs w:val="24"/>
              </w:rPr>
              <w:t xml:space="preserve">. </w:t>
            </w:r>
            <w:r w:rsidRPr="00E55F49">
              <w:rPr>
                <w:rFonts w:ascii="Arial" w:hAnsi="Arial" w:cs="Arial"/>
                <w:sz w:val="24"/>
                <w:szCs w:val="24"/>
              </w:rPr>
              <w:t xml:space="preserve">We’ll need to add details </w:t>
            </w:r>
            <w:proofErr w:type="gramStart"/>
            <w:r w:rsidRPr="00E55F49">
              <w:rPr>
                <w:rFonts w:ascii="Arial" w:hAnsi="Arial" w:cs="Arial"/>
                <w:sz w:val="24"/>
                <w:szCs w:val="24"/>
              </w:rPr>
              <w:t>for</w:t>
            </w:r>
            <w:proofErr w:type="gramEnd"/>
            <w:r w:rsidRPr="00E55F49">
              <w:rPr>
                <w:rFonts w:ascii="Arial" w:hAnsi="Arial" w:cs="Arial"/>
                <w:sz w:val="24"/>
                <w:szCs w:val="24"/>
              </w:rPr>
              <w:t xml:space="preserve"> this in the APSA regulations</w:t>
            </w:r>
            <w:r w:rsidR="455234A0" w:rsidRPr="00E55F49">
              <w:rPr>
                <w:rFonts w:ascii="Arial" w:hAnsi="Arial" w:cs="Arial"/>
                <w:sz w:val="24"/>
                <w:szCs w:val="24"/>
              </w:rPr>
              <w:t xml:space="preserve"> (UST regulations 2670 and 2672)</w:t>
            </w:r>
            <w:r w:rsidR="00602D1E">
              <w:rPr>
                <w:rFonts w:ascii="Arial" w:hAnsi="Arial" w:cs="Arial"/>
                <w:sz w:val="24"/>
                <w:szCs w:val="24"/>
              </w:rPr>
              <w:t>.</w:t>
            </w:r>
          </w:p>
          <w:p w14:paraId="72790C3E" w14:textId="249F1293" w:rsidR="00BF6D75" w:rsidRPr="00E55F49" w:rsidRDefault="68C28B1E" w:rsidP="00E55F49">
            <w:pPr>
              <w:pStyle w:val="ListParagraph"/>
              <w:numPr>
                <w:ilvl w:val="0"/>
                <w:numId w:val="3"/>
              </w:numPr>
              <w:ind w:left="60" w:hanging="150"/>
              <w:rPr>
                <w:rFonts w:ascii="Arial" w:hAnsi="Arial" w:cs="Arial"/>
                <w:sz w:val="24"/>
                <w:szCs w:val="24"/>
              </w:rPr>
            </w:pPr>
            <w:r w:rsidRPr="00E55F49">
              <w:rPr>
                <w:rFonts w:ascii="Arial" w:hAnsi="Arial" w:cs="Arial"/>
                <w:sz w:val="24"/>
                <w:szCs w:val="24"/>
              </w:rPr>
              <w:t>Re</w:t>
            </w:r>
            <w:r w:rsidR="1C7B9D8E" w:rsidRPr="00E55F49">
              <w:rPr>
                <w:rFonts w:ascii="Arial" w:hAnsi="Arial" w:cs="Arial"/>
                <w:sz w:val="24"/>
                <w:szCs w:val="24"/>
              </w:rPr>
              <w:t>view</w:t>
            </w:r>
            <w:r w:rsidR="6ACD72AC" w:rsidRPr="00E55F49">
              <w:rPr>
                <w:rFonts w:ascii="Arial" w:hAnsi="Arial" w:cs="Arial"/>
                <w:sz w:val="24"/>
                <w:szCs w:val="24"/>
              </w:rPr>
              <w:t xml:space="preserve"> fire code requirements</w:t>
            </w:r>
            <w:r w:rsidR="23704E9A" w:rsidRPr="00E55F49">
              <w:rPr>
                <w:rFonts w:ascii="Arial" w:hAnsi="Arial" w:cs="Arial"/>
                <w:sz w:val="24"/>
                <w:szCs w:val="24"/>
              </w:rPr>
              <w:t xml:space="preserve"> (CFC 5704.2.13.2</w:t>
            </w:r>
            <w:r w:rsidR="6BA8BFC1" w:rsidRPr="00E55F49">
              <w:rPr>
                <w:rFonts w:ascii="Arial" w:hAnsi="Arial" w:cs="Arial"/>
                <w:sz w:val="24"/>
                <w:szCs w:val="24"/>
              </w:rPr>
              <w:t xml:space="preserve"> and 5704.2.14</w:t>
            </w:r>
            <w:r w:rsidR="23704E9A" w:rsidRPr="00E55F49">
              <w:rPr>
                <w:rFonts w:ascii="Arial" w:hAnsi="Arial" w:cs="Arial"/>
                <w:sz w:val="24"/>
                <w:szCs w:val="24"/>
              </w:rPr>
              <w:t>)</w:t>
            </w:r>
            <w:r w:rsidR="0EAE019B" w:rsidRPr="00E55F49">
              <w:rPr>
                <w:rFonts w:ascii="Arial" w:hAnsi="Arial" w:cs="Arial"/>
                <w:sz w:val="24"/>
                <w:szCs w:val="24"/>
              </w:rPr>
              <w:t xml:space="preserve">, so there is no conflict. </w:t>
            </w:r>
            <w:r w:rsidR="1AD6FC5C" w:rsidRPr="00E55F49">
              <w:rPr>
                <w:rFonts w:ascii="Arial" w:hAnsi="Arial" w:cs="Arial"/>
                <w:sz w:val="24"/>
                <w:szCs w:val="24"/>
              </w:rPr>
              <w:t>There</w:t>
            </w:r>
            <w:r w:rsidR="0EAE019B" w:rsidRPr="00E55F49">
              <w:rPr>
                <w:rFonts w:ascii="Arial" w:hAnsi="Arial" w:cs="Arial"/>
                <w:sz w:val="24"/>
                <w:szCs w:val="24"/>
              </w:rPr>
              <w:t xml:space="preserve"> </w:t>
            </w:r>
            <w:r w:rsidR="1AD6FC5C" w:rsidRPr="00E55F49">
              <w:rPr>
                <w:rFonts w:ascii="Arial" w:hAnsi="Arial" w:cs="Arial"/>
                <w:sz w:val="24"/>
                <w:szCs w:val="24"/>
              </w:rPr>
              <w:t xml:space="preserve">is no </w:t>
            </w:r>
            <w:r w:rsidR="0EAE019B" w:rsidRPr="00E55F49">
              <w:rPr>
                <w:rFonts w:ascii="Arial" w:hAnsi="Arial" w:cs="Arial"/>
                <w:sz w:val="24"/>
                <w:szCs w:val="24"/>
              </w:rPr>
              <w:t>‘abandon</w:t>
            </w:r>
            <w:r w:rsidR="6B97CE39" w:rsidRPr="00E55F49">
              <w:rPr>
                <w:rFonts w:ascii="Arial" w:hAnsi="Arial" w:cs="Arial"/>
                <w:sz w:val="24"/>
                <w:szCs w:val="24"/>
              </w:rPr>
              <w:t>ment</w:t>
            </w:r>
            <w:r w:rsidR="0EAE019B" w:rsidRPr="00E55F49">
              <w:rPr>
                <w:rFonts w:ascii="Arial" w:hAnsi="Arial" w:cs="Arial"/>
                <w:sz w:val="24"/>
                <w:szCs w:val="24"/>
              </w:rPr>
              <w:t xml:space="preserve">’ </w:t>
            </w:r>
            <w:r w:rsidR="15FD6426" w:rsidRPr="00E55F49">
              <w:rPr>
                <w:rFonts w:ascii="Arial" w:hAnsi="Arial" w:cs="Arial"/>
                <w:sz w:val="24"/>
                <w:szCs w:val="24"/>
              </w:rPr>
              <w:t xml:space="preserve">of </w:t>
            </w:r>
            <w:r w:rsidR="0EAE019B" w:rsidRPr="00E55F49">
              <w:rPr>
                <w:rFonts w:ascii="Arial" w:hAnsi="Arial" w:cs="Arial"/>
                <w:sz w:val="24"/>
                <w:szCs w:val="24"/>
              </w:rPr>
              <w:t>an aboveground storage tank per fire code</w:t>
            </w:r>
            <w:r w:rsidR="1393C8E8" w:rsidRPr="00E55F49">
              <w:rPr>
                <w:rFonts w:ascii="Arial" w:hAnsi="Arial" w:cs="Arial"/>
                <w:sz w:val="24"/>
                <w:szCs w:val="24"/>
              </w:rPr>
              <w:t xml:space="preserve"> (only applicable to </w:t>
            </w:r>
            <w:r w:rsidR="0987E435" w:rsidRPr="00E55F49">
              <w:rPr>
                <w:rFonts w:ascii="Arial" w:hAnsi="Arial" w:cs="Arial"/>
                <w:sz w:val="24"/>
                <w:szCs w:val="24"/>
              </w:rPr>
              <w:t>piping associated with ASTs if fire code official determines removal is not practical</w:t>
            </w:r>
            <w:r w:rsidR="1393C8E8" w:rsidRPr="00E55F49">
              <w:rPr>
                <w:rFonts w:ascii="Arial" w:hAnsi="Arial" w:cs="Arial"/>
                <w:sz w:val="24"/>
                <w:szCs w:val="24"/>
              </w:rPr>
              <w:t>)</w:t>
            </w:r>
            <w:r w:rsidR="7AF636EF" w:rsidRPr="00E55F49">
              <w:rPr>
                <w:rFonts w:ascii="Arial" w:hAnsi="Arial" w:cs="Arial"/>
                <w:sz w:val="24"/>
                <w:szCs w:val="24"/>
              </w:rPr>
              <w:t>.</w:t>
            </w:r>
            <w:r w:rsidR="0EAE019B" w:rsidRPr="00E55F49">
              <w:rPr>
                <w:rFonts w:ascii="Arial" w:hAnsi="Arial" w:cs="Arial"/>
                <w:sz w:val="24"/>
                <w:szCs w:val="24"/>
              </w:rPr>
              <w:t xml:space="preserve"> </w:t>
            </w:r>
            <w:r w:rsidR="111942A5" w:rsidRPr="00E55F49">
              <w:rPr>
                <w:rFonts w:ascii="Arial" w:hAnsi="Arial" w:cs="Arial"/>
                <w:sz w:val="24"/>
                <w:szCs w:val="24"/>
              </w:rPr>
              <w:t>ASTs</w:t>
            </w:r>
            <w:r w:rsidR="2136D4ED" w:rsidRPr="00E55F49">
              <w:rPr>
                <w:rFonts w:ascii="Arial" w:hAnsi="Arial" w:cs="Arial"/>
                <w:sz w:val="24"/>
                <w:szCs w:val="24"/>
              </w:rPr>
              <w:t xml:space="preserve"> can be temporarily out of service, out of service for 90 days, or </w:t>
            </w:r>
            <w:r w:rsidR="0EAE019B" w:rsidRPr="00E55F49">
              <w:rPr>
                <w:rFonts w:ascii="Arial" w:hAnsi="Arial" w:cs="Arial"/>
                <w:sz w:val="24"/>
                <w:szCs w:val="24"/>
              </w:rPr>
              <w:t>remove</w:t>
            </w:r>
            <w:r w:rsidR="35B6B70D" w:rsidRPr="00E55F49">
              <w:rPr>
                <w:rFonts w:ascii="Arial" w:hAnsi="Arial" w:cs="Arial"/>
                <w:sz w:val="24"/>
                <w:szCs w:val="24"/>
              </w:rPr>
              <w:t xml:space="preserve">d and disposed. </w:t>
            </w:r>
          </w:p>
          <w:p w14:paraId="37397360" w14:textId="4929FF3B" w:rsidR="00BF6D75" w:rsidRPr="00E55F49" w:rsidRDefault="3DEC05C6" w:rsidP="00E55F49">
            <w:pPr>
              <w:pStyle w:val="ListParagraph"/>
              <w:numPr>
                <w:ilvl w:val="0"/>
                <w:numId w:val="3"/>
              </w:numPr>
              <w:ind w:left="59" w:hanging="149"/>
              <w:rPr>
                <w:rFonts w:ascii="Arial" w:hAnsi="Arial" w:cs="Arial"/>
                <w:sz w:val="24"/>
                <w:szCs w:val="24"/>
              </w:rPr>
            </w:pPr>
            <w:r w:rsidRPr="00E55F49">
              <w:rPr>
                <w:rFonts w:ascii="Arial" w:hAnsi="Arial" w:cs="Arial"/>
                <w:sz w:val="24"/>
                <w:szCs w:val="24"/>
              </w:rPr>
              <w:t xml:space="preserve">A facility closure plan is </w:t>
            </w:r>
            <w:r w:rsidR="7F74A2CC" w:rsidRPr="00E55F49">
              <w:rPr>
                <w:rFonts w:ascii="Arial" w:hAnsi="Arial" w:cs="Arial"/>
                <w:sz w:val="24"/>
                <w:szCs w:val="24"/>
              </w:rPr>
              <w:t xml:space="preserve">also </w:t>
            </w:r>
            <w:r w:rsidRPr="00E55F49">
              <w:rPr>
                <w:rFonts w:ascii="Arial" w:hAnsi="Arial" w:cs="Arial"/>
                <w:sz w:val="24"/>
                <w:szCs w:val="24"/>
              </w:rPr>
              <w:t xml:space="preserve">required </w:t>
            </w:r>
            <w:proofErr w:type="gramStart"/>
            <w:r w:rsidRPr="00E55F49">
              <w:rPr>
                <w:rFonts w:ascii="Arial" w:hAnsi="Arial" w:cs="Arial"/>
                <w:sz w:val="24"/>
                <w:szCs w:val="24"/>
              </w:rPr>
              <w:t>per</w:t>
            </w:r>
            <w:proofErr w:type="gramEnd"/>
            <w:r w:rsidRPr="00E55F49">
              <w:rPr>
                <w:rFonts w:ascii="Arial" w:hAnsi="Arial" w:cs="Arial"/>
                <w:sz w:val="24"/>
                <w:szCs w:val="24"/>
              </w:rPr>
              <w:t xml:space="preserve"> fire code (CFC 407.7</w:t>
            </w:r>
            <w:r w:rsidR="7201CED8" w:rsidRPr="00E55F49">
              <w:rPr>
                <w:rFonts w:ascii="Arial" w:hAnsi="Arial" w:cs="Arial"/>
                <w:sz w:val="24"/>
                <w:szCs w:val="24"/>
              </w:rPr>
              <w:t xml:space="preserve"> and 5001.6</w:t>
            </w:r>
            <w:r w:rsidR="38952179" w:rsidRPr="00E55F49">
              <w:rPr>
                <w:rFonts w:ascii="Arial" w:hAnsi="Arial" w:cs="Arial"/>
                <w:sz w:val="24"/>
                <w:szCs w:val="24"/>
              </w:rPr>
              <w:t>). Read fire code requirements so there is no conflict.</w:t>
            </w:r>
            <w:r w:rsidR="512466A3" w:rsidRPr="00E55F49">
              <w:rPr>
                <w:rFonts w:ascii="Arial" w:hAnsi="Arial" w:cs="Arial"/>
                <w:sz w:val="24"/>
                <w:szCs w:val="24"/>
              </w:rPr>
              <w:t xml:space="preserve"> </w:t>
            </w:r>
            <w:r w:rsidR="6F2E7865" w:rsidRPr="00E55F49">
              <w:rPr>
                <w:rFonts w:ascii="Arial" w:hAnsi="Arial" w:cs="Arial"/>
                <w:sz w:val="24"/>
                <w:szCs w:val="24"/>
              </w:rPr>
              <w:t>(5001.6 has reference to 5001.5 as well)</w:t>
            </w:r>
            <w:r w:rsidR="002740B6">
              <w:rPr>
                <w:rFonts w:ascii="Arial" w:hAnsi="Arial" w:cs="Arial"/>
                <w:sz w:val="24"/>
                <w:szCs w:val="24"/>
              </w:rPr>
              <w:t>.</w:t>
            </w:r>
          </w:p>
          <w:p w14:paraId="644E7BFD" w14:textId="284EC0A0" w:rsidR="00BF6D75" w:rsidRPr="00E55F49" w:rsidRDefault="4315B64E" w:rsidP="00E55F49">
            <w:pPr>
              <w:pStyle w:val="ListParagraph"/>
              <w:numPr>
                <w:ilvl w:val="0"/>
                <w:numId w:val="3"/>
              </w:numPr>
              <w:ind w:left="59" w:hanging="149"/>
              <w:rPr>
                <w:rFonts w:ascii="Arial" w:hAnsi="Arial" w:cs="Arial"/>
                <w:sz w:val="24"/>
                <w:szCs w:val="24"/>
              </w:rPr>
            </w:pPr>
            <w:r w:rsidRPr="00E55F49">
              <w:rPr>
                <w:rFonts w:ascii="Arial" w:hAnsi="Arial" w:cs="Arial"/>
                <w:sz w:val="24"/>
                <w:szCs w:val="24"/>
              </w:rPr>
              <w:t>Better to add as proposed regulation instead, so there’s more time to iron out details with committee and research fire cod</w:t>
            </w:r>
            <w:r w:rsidR="22893EE6" w:rsidRPr="00E55F49">
              <w:rPr>
                <w:rFonts w:ascii="Arial" w:hAnsi="Arial" w:cs="Arial"/>
                <w:sz w:val="24"/>
                <w:szCs w:val="24"/>
              </w:rPr>
              <w:t>e conflicts, if any</w:t>
            </w:r>
            <w:r w:rsidRPr="00E55F49">
              <w:rPr>
                <w:rFonts w:ascii="Arial" w:hAnsi="Arial" w:cs="Arial"/>
                <w:sz w:val="24"/>
                <w:szCs w:val="24"/>
              </w:rPr>
              <w:t>?</w:t>
            </w:r>
          </w:p>
          <w:p w14:paraId="2F496E7F" w14:textId="77777777" w:rsidR="00BF6D75" w:rsidRPr="00E55F49" w:rsidRDefault="55EBCA79" w:rsidP="00E55F49">
            <w:pPr>
              <w:pStyle w:val="ListParagraph"/>
              <w:numPr>
                <w:ilvl w:val="0"/>
                <w:numId w:val="3"/>
              </w:numPr>
              <w:ind w:left="59" w:hanging="149"/>
              <w:rPr>
                <w:rFonts w:ascii="Arial" w:hAnsi="Arial" w:cs="Arial"/>
                <w:sz w:val="24"/>
                <w:szCs w:val="24"/>
              </w:rPr>
            </w:pPr>
            <w:r w:rsidRPr="00E55F49">
              <w:rPr>
                <w:rFonts w:ascii="Arial" w:hAnsi="Arial" w:cs="Arial"/>
                <w:sz w:val="24"/>
                <w:szCs w:val="24"/>
              </w:rPr>
              <w:t xml:space="preserve">Is the “demonstrates” intended to be a notification requirement </w:t>
            </w:r>
            <w:r w:rsidR="21988594" w:rsidRPr="00E55F49">
              <w:rPr>
                <w:rFonts w:ascii="Arial" w:hAnsi="Arial" w:cs="Arial"/>
                <w:sz w:val="24"/>
                <w:szCs w:val="24"/>
              </w:rPr>
              <w:t xml:space="preserve">prior to commencement, </w:t>
            </w:r>
            <w:r w:rsidRPr="00E55F49">
              <w:rPr>
                <w:rFonts w:ascii="Arial" w:hAnsi="Arial" w:cs="Arial"/>
                <w:sz w:val="24"/>
                <w:szCs w:val="24"/>
              </w:rPr>
              <w:t>similar to waste tanks? Need some more clarity here otherwise we’re introducing a gray area.</w:t>
            </w:r>
          </w:p>
          <w:p w14:paraId="614EEA0D" w14:textId="2314F626" w:rsidR="00476A47" w:rsidRDefault="00C33967" w:rsidP="00E61B50">
            <w:pPr>
              <w:pStyle w:val="ListParagraph"/>
              <w:numPr>
                <w:ilvl w:val="0"/>
                <w:numId w:val="3"/>
              </w:numPr>
              <w:ind w:left="59" w:hanging="149"/>
              <w:rPr>
                <w:rFonts w:ascii="Arial" w:hAnsi="Arial" w:cs="Arial"/>
                <w:sz w:val="24"/>
                <w:szCs w:val="24"/>
              </w:rPr>
            </w:pPr>
            <w:r>
              <w:rPr>
                <w:rFonts w:ascii="Arial" w:hAnsi="Arial" w:cs="Arial"/>
                <w:sz w:val="24"/>
                <w:szCs w:val="24"/>
              </w:rPr>
              <w:t xml:space="preserve">Unknown: </w:t>
            </w:r>
            <w:r w:rsidR="00476A47" w:rsidRPr="00E55F49">
              <w:rPr>
                <w:rFonts w:ascii="Arial" w:hAnsi="Arial" w:cs="Arial"/>
                <w:sz w:val="24"/>
                <w:szCs w:val="24"/>
              </w:rPr>
              <w:t xml:space="preserve">I think “demonstrates” would require some form of notification. This is clearcut when the CUPA is a fire </w:t>
            </w:r>
            <w:r w:rsidR="009F23CF" w:rsidRPr="00E55F49">
              <w:rPr>
                <w:rFonts w:ascii="Arial" w:hAnsi="Arial" w:cs="Arial"/>
                <w:sz w:val="24"/>
                <w:szCs w:val="24"/>
              </w:rPr>
              <w:t xml:space="preserve">CUPA, but for UPAs that don’t have authority over closure, we should clarify that some form of notification would be required before final closure. Without that information, </w:t>
            </w:r>
            <w:r>
              <w:rPr>
                <w:rFonts w:ascii="Arial" w:hAnsi="Arial" w:cs="Arial"/>
                <w:sz w:val="24"/>
                <w:szCs w:val="24"/>
              </w:rPr>
              <w:lastRenderedPageBreak/>
              <w:t>‘</w:t>
            </w:r>
            <w:r w:rsidR="009F23CF" w:rsidRPr="00E55F49">
              <w:rPr>
                <w:rFonts w:ascii="Arial" w:hAnsi="Arial" w:cs="Arial"/>
                <w:sz w:val="24"/>
                <w:szCs w:val="24"/>
              </w:rPr>
              <w:t>demonstrates</w:t>
            </w:r>
            <w:r>
              <w:rPr>
                <w:rFonts w:ascii="Arial" w:hAnsi="Arial" w:cs="Arial"/>
                <w:sz w:val="24"/>
                <w:szCs w:val="24"/>
              </w:rPr>
              <w:t>’</w:t>
            </w:r>
            <w:r w:rsidR="009F23CF" w:rsidRPr="00E55F49">
              <w:rPr>
                <w:rFonts w:ascii="Arial" w:hAnsi="Arial" w:cs="Arial"/>
                <w:sz w:val="24"/>
                <w:szCs w:val="24"/>
              </w:rPr>
              <w:t xml:space="preserve"> would just imply that the facility could close without UPA oversight, but could receive a </w:t>
            </w:r>
            <w:r w:rsidR="00A63C51" w:rsidRPr="00E55F49">
              <w:rPr>
                <w:rFonts w:ascii="Arial" w:hAnsi="Arial" w:cs="Arial"/>
                <w:sz w:val="24"/>
                <w:szCs w:val="24"/>
              </w:rPr>
              <w:t>violation</w:t>
            </w:r>
            <w:r w:rsidR="009F23CF" w:rsidRPr="00E55F49">
              <w:rPr>
                <w:rFonts w:ascii="Arial" w:hAnsi="Arial" w:cs="Arial"/>
                <w:sz w:val="24"/>
                <w:szCs w:val="24"/>
              </w:rPr>
              <w:t xml:space="preserve"> if they didn’t maintain adequate documentation after the fact. </w:t>
            </w:r>
          </w:p>
          <w:p w14:paraId="54189244" w14:textId="09F2C130" w:rsidR="00BF20B3" w:rsidRPr="00E55F49" w:rsidRDefault="00BF20B3" w:rsidP="00E55F49">
            <w:pPr>
              <w:ind w:left="-90"/>
              <w:rPr>
                <w:rFonts w:ascii="Arial" w:hAnsi="Arial" w:cs="Arial"/>
                <w:sz w:val="24"/>
                <w:szCs w:val="24"/>
              </w:rPr>
            </w:pPr>
          </w:p>
        </w:tc>
      </w:tr>
      <w:tr w:rsidR="000A52B7" w:rsidRPr="000A5FA5" w14:paraId="642FE173" w14:textId="77777777" w:rsidTr="00BA3921">
        <w:tc>
          <w:tcPr>
            <w:tcW w:w="2324" w:type="dxa"/>
          </w:tcPr>
          <w:p w14:paraId="1C153CDF" w14:textId="77777777" w:rsidR="00E04019" w:rsidRPr="00277BB8" w:rsidRDefault="00E04019" w:rsidP="00277BB8">
            <w:pPr>
              <w:rPr>
                <w:rFonts w:ascii="Arial" w:hAnsi="Arial" w:cs="Arial"/>
                <w:sz w:val="24"/>
                <w:szCs w:val="24"/>
              </w:rPr>
            </w:pPr>
            <w:r w:rsidRPr="00277BB8">
              <w:rPr>
                <w:rFonts w:ascii="Arial" w:hAnsi="Arial" w:cs="Arial"/>
                <w:sz w:val="24"/>
                <w:szCs w:val="24"/>
              </w:rPr>
              <w:lastRenderedPageBreak/>
              <w:t>25270.8</w:t>
            </w:r>
          </w:p>
        </w:tc>
        <w:tc>
          <w:tcPr>
            <w:tcW w:w="7126" w:type="dxa"/>
          </w:tcPr>
          <w:p w14:paraId="491C5C78" w14:textId="17690993" w:rsidR="00446807" w:rsidRDefault="00E16A20" w:rsidP="00277BB8">
            <w:pPr>
              <w:rPr>
                <w:rFonts w:ascii="Arial" w:hAnsi="Arial" w:cs="Arial"/>
                <w:sz w:val="24"/>
                <w:szCs w:val="24"/>
              </w:rPr>
            </w:pPr>
            <w:r w:rsidRPr="00277BB8">
              <w:rPr>
                <w:rFonts w:ascii="Arial" w:hAnsi="Arial" w:cs="Arial"/>
                <w:color w:val="ED0000"/>
                <w:sz w:val="24"/>
                <w:szCs w:val="24"/>
                <w:u w:val="single"/>
              </w:rPr>
              <w:t>Except as provided in subdivision (b) of Section 13272 of the Water Code,</w:t>
            </w:r>
            <w:r>
              <w:rPr>
                <w:rFonts w:ascii="Arial" w:hAnsi="Arial" w:cs="Arial"/>
                <w:color w:val="ED0000"/>
                <w:sz w:val="24"/>
                <w:szCs w:val="24"/>
                <w:u w:val="single"/>
              </w:rPr>
              <w:t xml:space="preserve"> each</w:t>
            </w:r>
            <w:r w:rsidRPr="00277BB8">
              <w:rPr>
                <w:rFonts w:ascii="Arial" w:hAnsi="Arial" w:cs="Arial"/>
                <w:color w:val="ED0000"/>
                <w:sz w:val="24"/>
                <w:szCs w:val="24"/>
                <w:u w:val="single"/>
              </w:rPr>
              <w:t xml:space="preserve"> </w:t>
            </w:r>
            <w:proofErr w:type="spellStart"/>
            <w:r w:rsidRPr="00277BB8">
              <w:rPr>
                <w:rFonts w:ascii="Arial" w:hAnsi="Arial" w:cs="Arial"/>
                <w:strike/>
                <w:color w:val="ED0000"/>
                <w:sz w:val="24"/>
                <w:szCs w:val="24"/>
                <w:u w:val="single"/>
              </w:rPr>
              <w:t>E</w:t>
            </w:r>
            <w:r w:rsidRPr="00277BB8">
              <w:rPr>
                <w:rFonts w:ascii="Arial" w:hAnsi="Arial" w:cs="Arial"/>
                <w:strike/>
                <w:color w:val="ED0000"/>
                <w:sz w:val="24"/>
                <w:szCs w:val="24"/>
              </w:rPr>
              <w:t>ach</w:t>
            </w:r>
            <w:proofErr w:type="spellEnd"/>
            <w:r w:rsidRPr="00BB4850">
              <w:rPr>
                <w:rFonts w:ascii="Arial" w:hAnsi="Arial" w:cs="Arial"/>
                <w:strike/>
                <w:color w:val="FF0000"/>
                <w:sz w:val="24"/>
                <w:szCs w:val="24"/>
              </w:rPr>
              <w:t xml:space="preserve"> </w:t>
            </w:r>
            <w:r w:rsidRPr="00E16A20">
              <w:rPr>
                <w:rFonts w:ascii="Arial" w:hAnsi="Arial" w:cs="Arial"/>
                <w:sz w:val="24"/>
                <w:szCs w:val="24"/>
              </w:rPr>
              <w:t>owner or operator of a tank facility shall immediately, upon discovery, notify the Office of Emergency Services and the UPA using the appropriate 24-hour emergency number or the 911 number, as established by the UPA, or by the governing body of the UPA, of the occurrence of a spill or other release of one barrel (42 gallons) or more of petroleum that is required to be reported pursuant to subdivision (a) of Section 13272 of the Water Code.</w:t>
            </w:r>
          </w:p>
          <w:p w14:paraId="1CD5E787" w14:textId="77777777" w:rsidR="00446807" w:rsidRDefault="00446807" w:rsidP="00277BB8">
            <w:pPr>
              <w:rPr>
                <w:rFonts w:ascii="Arial" w:hAnsi="Arial" w:cs="Arial"/>
                <w:sz w:val="24"/>
                <w:szCs w:val="24"/>
              </w:rPr>
            </w:pPr>
          </w:p>
          <w:p w14:paraId="1663161F" w14:textId="51137146" w:rsidR="00E04019" w:rsidRDefault="00E04019" w:rsidP="00277BB8">
            <w:pPr>
              <w:rPr>
                <w:rFonts w:ascii="Arial" w:hAnsi="Arial" w:cs="Arial"/>
                <w:sz w:val="24"/>
                <w:szCs w:val="24"/>
              </w:rPr>
            </w:pPr>
            <w:r>
              <w:rPr>
                <w:rFonts w:ascii="Arial" w:hAnsi="Arial" w:cs="Arial"/>
                <w:sz w:val="24"/>
                <w:szCs w:val="24"/>
              </w:rPr>
              <w:t>For reference, Water Code 13272</w:t>
            </w:r>
            <w:r w:rsidR="00526E26">
              <w:rPr>
                <w:rFonts w:ascii="Arial" w:hAnsi="Arial" w:cs="Arial"/>
                <w:sz w:val="24"/>
                <w:szCs w:val="24"/>
              </w:rPr>
              <w:t>(a) and (f)</w:t>
            </w:r>
            <w:r>
              <w:rPr>
                <w:rFonts w:ascii="Arial" w:hAnsi="Arial" w:cs="Arial"/>
                <w:sz w:val="24"/>
                <w:szCs w:val="24"/>
              </w:rPr>
              <w:t xml:space="preserve"> </w:t>
            </w:r>
            <w:r w:rsidR="00526E26">
              <w:rPr>
                <w:rFonts w:ascii="Arial" w:hAnsi="Arial" w:cs="Arial"/>
                <w:sz w:val="24"/>
                <w:szCs w:val="24"/>
              </w:rPr>
              <w:t>are</w:t>
            </w:r>
            <w:r>
              <w:rPr>
                <w:rFonts w:ascii="Arial" w:hAnsi="Arial" w:cs="Arial"/>
                <w:sz w:val="24"/>
                <w:szCs w:val="24"/>
              </w:rPr>
              <w:t xml:space="preserve"> below: </w:t>
            </w:r>
          </w:p>
          <w:p w14:paraId="725450AA" w14:textId="77777777" w:rsidR="00E04019" w:rsidRPr="00404795" w:rsidRDefault="00E04019" w:rsidP="00277BB8">
            <w:pPr>
              <w:ind w:left="15"/>
              <w:rPr>
                <w:rFonts w:ascii="Arial" w:eastAsia="Aptos" w:hAnsi="Arial" w:cs="Arial"/>
                <w:i/>
                <w:iCs/>
                <w:sz w:val="24"/>
                <w:szCs w:val="24"/>
              </w:rPr>
            </w:pPr>
            <w:r w:rsidRPr="00404795">
              <w:rPr>
                <w:rFonts w:ascii="Arial" w:eastAsia="Aptos" w:hAnsi="Arial" w:cs="Arial"/>
                <w:i/>
                <w:iCs/>
                <w:sz w:val="24"/>
                <w:szCs w:val="24"/>
              </w:rPr>
              <w:t xml:space="preserve">(a) Except as provided by subdivision (b), any person who, without regard to intent or negligence, causes or permits </w:t>
            </w:r>
            <w:r w:rsidRPr="00277BB8">
              <w:rPr>
                <w:rFonts w:ascii="Arial" w:eastAsia="Aptos" w:hAnsi="Arial" w:cs="Arial"/>
                <w:b/>
                <w:bCs/>
                <w:i/>
                <w:iCs/>
                <w:sz w:val="24"/>
                <w:szCs w:val="24"/>
              </w:rPr>
              <w:t>any oil or petroleum product to be discharged in or on any waters of the state</w:t>
            </w:r>
            <w:r w:rsidRPr="00404795">
              <w:rPr>
                <w:rFonts w:ascii="Arial" w:eastAsia="Aptos" w:hAnsi="Arial" w:cs="Arial"/>
                <w:i/>
                <w:iCs/>
                <w:sz w:val="24"/>
                <w:szCs w:val="24"/>
              </w:rPr>
              <w:t>, or discharged or deposited where it is, or probably will be, discharged in or on any waters of the state, shall, as soon as (1) that person has knowledge of the discharge, (2) notification is possible, and (3) notification can be provided without substantially impeding cleanup or other emergency measures, immediately notify the Office of Emergency Services of the discharge in accordance with the spill reporting provision of the California oil spill contingency plan adopted pursuant to Article 3.5 (commencing with Section 8574.1) of Chapter 7 of Division 1 of Title 2 of the Government Code.</w:t>
            </w:r>
          </w:p>
          <w:p w14:paraId="27A78CCF" w14:textId="77777777" w:rsidR="00E04019" w:rsidRPr="00404795" w:rsidRDefault="00E04019" w:rsidP="00277BB8">
            <w:pPr>
              <w:ind w:left="720"/>
              <w:rPr>
                <w:rFonts w:ascii="Arial" w:eastAsia="Aptos" w:hAnsi="Arial" w:cs="Arial"/>
                <w:i/>
                <w:iCs/>
                <w:sz w:val="24"/>
                <w:szCs w:val="24"/>
              </w:rPr>
            </w:pPr>
            <w:r w:rsidRPr="00404795">
              <w:rPr>
                <w:rFonts w:ascii="Arial" w:eastAsia="Aptos" w:hAnsi="Arial" w:cs="Arial"/>
                <w:i/>
                <w:iCs/>
                <w:sz w:val="24"/>
                <w:szCs w:val="24"/>
              </w:rPr>
              <w:t xml:space="preserve"> </w:t>
            </w:r>
          </w:p>
          <w:p w14:paraId="77D33F70" w14:textId="77777777" w:rsidR="00E04019" w:rsidRDefault="00E04019" w:rsidP="00277BB8">
            <w:pPr>
              <w:rPr>
                <w:rFonts w:ascii="Arial" w:eastAsia="Aptos" w:hAnsi="Arial" w:cs="Arial"/>
                <w:i/>
                <w:iCs/>
                <w:sz w:val="24"/>
                <w:szCs w:val="24"/>
              </w:rPr>
            </w:pPr>
            <w:r w:rsidRPr="00404795">
              <w:rPr>
                <w:rFonts w:ascii="Arial" w:eastAsia="Aptos" w:hAnsi="Arial" w:cs="Arial"/>
                <w:i/>
                <w:iCs/>
                <w:sz w:val="24"/>
                <w:szCs w:val="24"/>
              </w:rPr>
              <w:t xml:space="preserve">(f) The reportable quantity for oil or petroleum products shall be </w:t>
            </w:r>
            <w:r w:rsidRPr="00277BB8">
              <w:rPr>
                <w:rFonts w:ascii="Arial" w:eastAsia="Aptos" w:hAnsi="Arial" w:cs="Arial"/>
                <w:b/>
                <w:bCs/>
                <w:i/>
                <w:iCs/>
                <w:sz w:val="24"/>
                <w:szCs w:val="24"/>
              </w:rPr>
              <w:t>one barrel (42 gallons) or more</w:t>
            </w:r>
            <w:r w:rsidRPr="00404795">
              <w:rPr>
                <w:rFonts w:ascii="Arial" w:eastAsia="Aptos" w:hAnsi="Arial" w:cs="Arial"/>
                <w:i/>
                <w:iCs/>
                <w:sz w:val="24"/>
                <w:szCs w:val="24"/>
              </w:rPr>
              <w:t xml:space="preserve">, by direct discharge to the </w:t>
            </w:r>
            <w:r w:rsidRPr="00404795">
              <w:rPr>
                <w:rFonts w:ascii="Arial" w:eastAsia="Aptos" w:hAnsi="Arial" w:cs="Arial"/>
                <w:i/>
                <w:iCs/>
                <w:sz w:val="24"/>
                <w:szCs w:val="24"/>
              </w:rPr>
              <w:lastRenderedPageBreak/>
              <w:t xml:space="preserve">receiving waters, </w:t>
            </w:r>
            <w:r w:rsidRPr="00277BB8">
              <w:rPr>
                <w:rFonts w:ascii="Arial" w:eastAsia="Aptos" w:hAnsi="Arial" w:cs="Arial"/>
                <w:b/>
                <w:bCs/>
                <w:i/>
                <w:iCs/>
                <w:sz w:val="24"/>
                <w:szCs w:val="24"/>
              </w:rPr>
              <w:t>unless a more restrictive reporting standard for a particular body of water is adopted</w:t>
            </w:r>
            <w:r w:rsidRPr="00404795">
              <w:rPr>
                <w:rFonts w:ascii="Arial" w:eastAsia="Aptos" w:hAnsi="Arial" w:cs="Arial"/>
                <w:i/>
                <w:iCs/>
                <w:sz w:val="24"/>
                <w:szCs w:val="24"/>
              </w:rPr>
              <w:t>.</w:t>
            </w:r>
          </w:p>
          <w:p w14:paraId="61D1AF33" w14:textId="77777777" w:rsidR="00BF20B3" w:rsidRPr="00BF20B3" w:rsidRDefault="00BF20B3" w:rsidP="00277BB8">
            <w:pPr>
              <w:rPr>
                <w:rFonts w:ascii="Arial" w:hAnsi="Arial" w:cs="Arial"/>
                <w:sz w:val="24"/>
                <w:szCs w:val="24"/>
              </w:rPr>
            </w:pPr>
          </w:p>
        </w:tc>
        <w:tc>
          <w:tcPr>
            <w:tcW w:w="5040" w:type="dxa"/>
          </w:tcPr>
          <w:p w14:paraId="443B14BD" w14:textId="77777777" w:rsidR="00E04019" w:rsidRPr="00277BB8" w:rsidRDefault="00E04019" w:rsidP="00277BB8">
            <w:pPr>
              <w:pStyle w:val="ListParagraph"/>
              <w:numPr>
                <w:ilvl w:val="0"/>
                <w:numId w:val="4"/>
              </w:numPr>
              <w:ind w:left="144" w:hanging="144"/>
              <w:rPr>
                <w:rFonts w:ascii="Arial" w:hAnsi="Arial" w:cs="Arial"/>
                <w:sz w:val="24"/>
                <w:szCs w:val="24"/>
              </w:rPr>
            </w:pPr>
            <w:r w:rsidRPr="00277BB8">
              <w:rPr>
                <w:rFonts w:ascii="Arial" w:hAnsi="Arial" w:cs="Arial"/>
                <w:sz w:val="24"/>
                <w:szCs w:val="24"/>
              </w:rPr>
              <w:lastRenderedPageBreak/>
              <w:t xml:space="preserve">HSC 6.67 defines “release”, not “spill.” This proposed change will keep the information consistent to APSA definitions.  </w:t>
            </w:r>
          </w:p>
          <w:p w14:paraId="29976F01" w14:textId="77777777" w:rsidR="00E04019" w:rsidRPr="00277BB8" w:rsidRDefault="00E04019" w:rsidP="00277BB8">
            <w:pPr>
              <w:pStyle w:val="ListParagraph"/>
              <w:numPr>
                <w:ilvl w:val="0"/>
                <w:numId w:val="4"/>
              </w:numPr>
              <w:ind w:left="144" w:hanging="144"/>
              <w:rPr>
                <w:rFonts w:ascii="Arial" w:eastAsia="Aptos" w:hAnsi="Arial" w:cs="Arial"/>
                <w:sz w:val="24"/>
                <w:szCs w:val="24"/>
              </w:rPr>
            </w:pPr>
            <w:r w:rsidRPr="00277BB8">
              <w:rPr>
                <w:rFonts w:ascii="Arial" w:hAnsi="Arial" w:cs="Arial"/>
                <w:sz w:val="24"/>
                <w:szCs w:val="24"/>
              </w:rPr>
              <w:t>WAT 13272(a) specifies that ‘ANY oil or petroleum products...discharged in or on ANY waters of the state’ require immediate notification to OES. On the other hand, WAT 13272(</w:t>
            </w:r>
            <w:r>
              <w:rPr>
                <w:rFonts w:ascii="Arial" w:hAnsi="Arial" w:cs="Arial"/>
                <w:sz w:val="24"/>
                <w:szCs w:val="24"/>
              </w:rPr>
              <w:t>f</w:t>
            </w:r>
            <w:r w:rsidRPr="00277BB8">
              <w:rPr>
                <w:rFonts w:ascii="Arial" w:hAnsi="Arial" w:cs="Arial"/>
                <w:sz w:val="24"/>
                <w:szCs w:val="24"/>
              </w:rPr>
              <w:t>) specifies 42 gallons or more to be reportable quantity for oil or petroleum products discharged into water. This needs to be reconciled.</w:t>
            </w:r>
          </w:p>
          <w:p w14:paraId="318A32C2" w14:textId="77777777" w:rsidR="00E04019" w:rsidRPr="007C4A37" w:rsidRDefault="00E04019" w:rsidP="00277BB8">
            <w:pPr>
              <w:pStyle w:val="ListParagraph"/>
              <w:numPr>
                <w:ilvl w:val="0"/>
                <w:numId w:val="4"/>
              </w:numPr>
              <w:ind w:left="144" w:hanging="144"/>
              <w:rPr>
                <w:rFonts w:ascii="Arial" w:eastAsia="Aptos" w:hAnsi="Arial" w:cs="Arial"/>
                <w:sz w:val="24"/>
                <w:szCs w:val="24"/>
              </w:rPr>
            </w:pPr>
            <w:r w:rsidRPr="007C4A37">
              <w:rPr>
                <w:rFonts w:ascii="Arial" w:eastAsia="Aptos" w:hAnsi="Arial" w:cs="Arial"/>
                <w:sz w:val="24"/>
                <w:szCs w:val="24"/>
              </w:rPr>
              <w:t xml:space="preserve">It is confusing about the 42-gallon reportable quantity specified in WAT 13272(f), since it conflicts with WAT 13272(a).  </w:t>
            </w:r>
          </w:p>
          <w:p w14:paraId="1DCA1B90" w14:textId="4ADBECCE" w:rsidR="00E04019" w:rsidRPr="00277BB8" w:rsidRDefault="00E04019" w:rsidP="00277BB8">
            <w:pPr>
              <w:pStyle w:val="ListParagraph"/>
              <w:numPr>
                <w:ilvl w:val="0"/>
                <w:numId w:val="4"/>
              </w:numPr>
              <w:ind w:left="144" w:hanging="144"/>
              <w:rPr>
                <w:rFonts w:ascii="Arial" w:hAnsi="Arial" w:cs="Arial"/>
                <w:sz w:val="24"/>
                <w:szCs w:val="24"/>
              </w:rPr>
            </w:pPr>
            <w:r w:rsidRPr="00277BB8">
              <w:rPr>
                <w:rFonts w:ascii="Arial" w:eastAsia="Aptos" w:hAnsi="Arial" w:cs="Arial"/>
                <w:sz w:val="24"/>
                <w:szCs w:val="24"/>
              </w:rPr>
              <w:t>Release reporting or spill notification in APSA and the W</w:t>
            </w:r>
            <w:r w:rsidR="002C01B9">
              <w:rPr>
                <w:rFonts w:ascii="Arial" w:eastAsia="Aptos" w:hAnsi="Arial" w:cs="Arial"/>
                <w:sz w:val="24"/>
                <w:szCs w:val="24"/>
              </w:rPr>
              <w:t>AT</w:t>
            </w:r>
            <w:r w:rsidRPr="00277BB8">
              <w:rPr>
                <w:rFonts w:ascii="Arial" w:eastAsia="Aptos" w:hAnsi="Arial" w:cs="Arial"/>
                <w:sz w:val="24"/>
                <w:szCs w:val="24"/>
              </w:rPr>
              <w:t xml:space="preserve"> 13272</w:t>
            </w:r>
            <w:r>
              <w:rPr>
                <w:rFonts w:ascii="Arial" w:eastAsia="Aptos" w:hAnsi="Arial" w:cs="Arial"/>
                <w:sz w:val="24"/>
                <w:szCs w:val="24"/>
              </w:rPr>
              <w:t>(a) and (f)</w:t>
            </w:r>
            <w:r w:rsidRPr="00277BB8">
              <w:rPr>
                <w:rFonts w:ascii="Arial" w:eastAsia="Aptos" w:hAnsi="Arial" w:cs="Arial"/>
                <w:sz w:val="24"/>
                <w:szCs w:val="24"/>
              </w:rPr>
              <w:t xml:space="preserve"> all </w:t>
            </w:r>
            <w:r w:rsidR="001F7AE4">
              <w:rPr>
                <w:rFonts w:ascii="Arial" w:eastAsia="Aptos" w:hAnsi="Arial" w:cs="Arial"/>
                <w:sz w:val="24"/>
                <w:szCs w:val="24"/>
              </w:rPr>
              <w:t>reference</w:t>
            </w:r>
            <w:r w:rsidRPr="00277BB8">
              <w:rPr>
                <w:rFonts w:ascii="Arial" w:eastAsia="Aptos" w:hAnsi="Arial" w:cs="Arial"/>
                <w:sz w:val="24"/>
                <w:szCs w:val="24"/>
              </w:rPr>
              <w:t xml:space="preserve"> a release to any waters of the state.</w:t>
            </w:r>
            <w:r w:rsidR="00B30E92">
              <w:rPr>
                <w:rFonts w:ascii="Arial" w:eastAsia="Aptos" w:hAnsi="Arial" w:cs="Arial"/>
                <w:sz w:val="24"/>
                <w:szCs w:val="24"/>
              </w:rPr>
              <w:t xml:space="preserve"> Do we need to add the release to ‘any waters of the state’ for clarification?</w:t>
            </w:r>
          </w:p>
          <w:p w14:paraId="4EA9D3D1" w14:textId="77777777" w:rsidR="00E04019" w:rsidRPr="00277BB8" w:rsidRDefault="00E04019" w:rsidP="00277BB8">
            <w:pPr>
              <w:rPr>
                <w:rFonts w:ascii="Arial" w:hAnsi="Arial" w:cs="Arial"/>
                <w:sz w:val="24"/>
                <w:szCs w:val="24"/>
              </w:rPr>
            </w:pPr>
          </w:p>
        </w:tc>
      </w:tr>
      <w:tr w:rsidR="000A52B7" w:rsidRPr="00404795" w14:paraId="45D1BF9E" w14:textId="77777777" w:rsidTr="00BA3921">
        <w:trPr>
          <w:trHeight w:val="300"/>
        </w:trPr>
        <w:tc>
          <w:tcPr>
            <w:tcW w:w="2324" w:type="dxa"/>
          </w:tcPr>
          <w:p w14:paraId="671BC90B" w14:textId="022F53B3" w:rsidR="005F4463" w:rsidRPr="00277BB8" w:rsidRDefault="005F4463" w:rsidP="00277BB8">
            <w:pPr>
              <w:rPr>
                <w:rFonts w:ascii="Arial" w:hAnsi="Arial" w:cs="Arial"/>
                <w:sz w:val="24"/>
                <w:szCs w:val="24"/>
                <w:u w:val="single"/>
              </w:rPr>
            </w:pPr>
            <w:r w:rsidRPr="00E55F49">
              <w:rPr>
                <w:rFonts w:ascii="Arial" w:hAnsi="Arial" w:cs="Arial"/>
                <w:color w:val="ED0000"/>
                <w:sz w:val="24"/>
                <w:szCs w:val="24"/>
                <w:u w:val="single"/>
              </w:rPr>
              <w:t>25270.12.2</w:t>
            </w:r>
            <w:r w:rsidR="00306D25">
              <w:rPr>
                <w:rFonts w:ascii="Arial" w:hAnsi="Arial" w:cs="Arial"/>
                <w:color w:val="ED0000"/>
                <w:sz w:val="24"/>
                <w:szCs w:val="24"/>
                <w:u w:val="single"/>
              </w:rPr>
              <w:t>?</w:t>
            </w:r>
          </w:p>
        </w:tc>
        <w:tc>
          <w:tcPr>
            <w:tcW w:w="7126" w:type="dxa"/>
          </w:tcPr>
          <w:p w14:paraId="2FFC91CD" w14:textId="77777777" w:rsidR="005F4463" w:rsidRPr="00404795" w:rsidRDefault="005F4463" w:rsidP="00277BB8">
            <w:pPr>
              <w:rPr>
                <w:rFonts w:ascii="Arial" w:eastAsia="Aptos" w:hAnsi="Arial" w:cs="Arial"/>
                <w:sz w:val="24"/>
                <w:szCs w:val="24"/>
              </w:rPr>
            </w:pPr>
          </w:p>
        </w:tc>
        <w:tc>
          <w:tcPr>
            <w:tcW w:w="5040" w:type="dxa"/>
          </w:tcPr>
          <w:p w14:paraId="0772210B" w14:textId="64BCC8F7" w:rsidR="005F4463" w:rsidRDefault="005F4463" w:rsidP="00277BB8">
            <w:pPr>
              <w:rPr>
                <w:rFonts w:ascii="Arial" w:eastAsia="Aptos" w:hAnsi="Arial" w:cs="Arial"/>
                <w:sz w:val="24"/>
                <w:szCs w:val="24"/>
              </w:rPr>
            </w:pPr>
            <w:r w:rsidRPr="00404795">
              <w:rPr>
                <w:rFonts w:ascii="Arial" w:eastAsia="Aptos" w:hAnsi="Arial" w:cs="Arial"/>
                <w:sz w:val="24"/>
                <w:szCs w:val="24"/>
              </w:rPr>
              <w:t>Do we want to add something similar to UST red tag authority</w:t>
            </w:r>
            <w:r w:rsidR="006608E1">
              <w:rPr>
                <w:rFonts w:ascii="Arial" w:eastAsia="Aptos" w:hAnsi="Arial" w:cs="Arial"/>
                <w:sz w:val="24"/>
                <w:szCs w:val="24"/>
              </w:rPr>
              <w:t>, particularly</w:t>
            </w:r>
            <w:r w:rsidRPr="00404795">
              <w:rPr>
                <w:rFonts w:ascii="Arial" w:eastAsia="Aptos" w:hAnsi="Arial" w:cs="Arial"/>
                <w:sz w:val="24"/>
                <w:szCs w:val="24"/>
              </w:rPr>
              <w:t xml:space="preserve"> at motor fuel dispensing facility/operation? </w:t>
            </w:r>
            <w:r w:rsidR="00611908">
              <w:rPr>
                <w:rFonts w:ascii="Arial" w:eastAsia="Aptos" w:hAnsi="Arial" w:cs="Arial"/>
                <w:sz w:val="24"/>
                <w:szCs w:val="24"/>
              </w:rPr>
              <w:t xml:space="preserve">Imagine two facilities located near each other; one has USTs and another has ASTs. </w:t>
            </w:r>
            <w:proofErr w:type="gramStart"/>
            <w:r w:rsidR="00611908">
              <w:rPr>
                <w:rFonts w:ascii="Arial" w:eastAsia="Aptos" w:hAnsi="Arial" w:cs="Arial"/>
                <w:sz w:val="24"/>
                <w:szCs w:val="24"/>
              </w:rPr>
              <w:t>UPAs</w:t>
            </w:r>
            <w:proofErr w:type="gramEnd"/>
            <w:r w:rsidR="00611908">
              <w:rPr>
                <w:rFonts w:ascii="Arial" w:eastAsia="Aptos" w:hAnsi="Arial" w:cs="Arial"/>
                <w:sz w:val="24"/>
                <w:szCs w:val="24"/>
              </w:rPr>
              <w:t xml:space="preserve"> have authority to affix a red tag a UST system that </w:t>
            </w:r>
            <w:r w:rsidR="000C14BE">
              <w:rPr>
                <w:rFonts w:ascii="Arial" w:eastAsia="Aptos" w:hAnsi="Arial" w:cs="Arial"/>
                <w:sz w:val="24"/>
                <w:szCs w:val="24"/>
              </w:rPr>
              <w:t>poses ‘an imminent threat to human health or safety or the environment’ but there is no such authority in APSA</w:t>
            </w:r>
            <w:r w:rsidR="00674246">
              <w:rPr>
                <w:rFonts w:ascii="Arial" w:eastAsia="Aptos" w:hAnsi="Arial" w:cs="Arial"/>
                <w:sz w:val="24"/>
                <w:szCs w:val="24"/>
              </w:rPr>
              <w:t>.</w:t>
            </w:r>
          </w:p>
          <w:p w14:paraId="406A65FB" w14:textId="77777777" w:rsidR="005F4463" w:rsidRDefault="005F4463" w:rsidP="00277BB8">
            <w:pPr>
              <w:rPr>
                <w:rFonts w:ascii="Arial" w:eastAsia="Aptos" w:hAnsi="Arial" w:cs="Arial"/>
                <w:sz w:val="24"/>
                <w:szCs w:val="24"/>
              </w:rPr>
            </w:pPr>
          </w:p>
          <w:p w14:paraId="4CD736DC" w14:textId="6A01DC52" w:rsidR="005F4463" w:rsidRDefault="00F47E54" w:rsidP="00277BB8">
            <w:pPr>
              <w:rPr>
                <w:rFonts w:ascii="Arial" w:eastAsia="Aptos" w:hAnsi="Arial" w:cs="Arial"/>
                <w:sz w:val="24"/>
                <w:szCs w:val="24"/>
              </w:rPr>
            </w:pPr>
            <w:r>
              <w:rPr>
                <w:rFonts w:ascii="Arial" w:eastAsia="Aptos" w:hAnsi="Arial" w:cs="Arial"/>
                <w:sz w:val="24"/>
                <w:szCs w:val="24"/>
              </w:rPr>
              <w:t>An</w:t>
            </w:r>
            <w:r w:rsidR="00674246">
              <w:rPr>
                <w:rFonts w:ascii="Arial" w:eastAsia="Aptos" w:hAnsi="Arial" w:cs="Arial"/>
                <w:sz w:val="24"/>
                <w:szCs w:val="24"/>
              </w:rPr>
              <w:t xml:space="preserve"> example </w:t>
            </w:r>
            <w:r w:rsidR="00FF7F98">
              <w:rPr>
                <w:rFonts w:ascii="Arial" w:eastAsia="Aptos" w:hAnsi="Arial" w:cs="Arial"/>
                <w:sz w:val="24"/>
                <w:szCs w:val="24"/>
              </w:rPr>
              <w:t>is</w:t>
            </w:r>
            <w:r w:rsidR="005F4463" w:rsidRPr="00404795">
              <w:rPr>
                <w:rFonts w:ascii="Arial" w:eastAsia="Aptos" w:hAnsi="Arial" w:cs="Arial"/>
                <w:sz w:val="24"/>
                <w:szCs w:val="24"/>
              </w:rPr>
              <w:t xml:space="preserve"> when UST is repurposed as AST</w:t>
            </w:r>
            <w:r w:rsidR="00674246">
              <w:rPr>
                <w:rFonts w:ascii="Arial" w:eastAsia="Aptos" w:hAnsi="Arial" w:cs="Arial"/>
                <w:sz w:val="24"/>
                <w:szCs w:val="24"/>
              </w:rPr>
              <w:t>.</w:t>
            </w:r>
            <w:r w:rsidR="005F4463">
              <w:rPr>
                <w:rFonts w:ascii="Arial" w:eastAsia="Aptos" w:hAnsi="Arial" w:cs="Arial"/>
                <w:sz w:val="24"/>
                <w:szCs w:val="24"/>
              </w:rPr>
              <w:t xml:space="preserve"> </w:t>
            </w:r>
            <w:r w:rsidR="00FF7F98">
              <w:rPr>
                <w:rFonts w:ascii="Arial" w:eastAsia="Aptos" w:hAnsi="Arial" w:cs="Arial"/>
                <w:sz w:val="24"/>
                <w:szCs w:val="24"/>
              </w:rPr>
              <w:t>There is no c</w:t>
            </w:r>
            <w:r w:rsidR="005F4463">
              <w:rPr>
                <w:rFonts w:ascii="Arial" w:eastAsia="Aptos" w:hAnsi="Arial" w:cs="Arial"/>
                <w:sz w:val="24"/>
                <w:szCs w:val="24"/>
              </w:rPr>
              <w:t xml:space="preserve">ease and desist or stop work order </w:t>
            </w:r>
            <w:r w:rsidR="00FF7F98">
              <w:rPr>
                <w:rFonts w:ascii="Arial" w:eastAsia="Aptos" w:hAnsi="Arial" w:cs="Arial"/>
                <w:sz w:val="24"/>
                <w:szCs w:val="24"/>
              </w:rPr>
              <w:t>in APSA</w:t>
            </w:r>
            <w:r w:rsidR="005F4463">
              <w:rPr>
                <w:rFonts w:ascii="Arial" w:eastAsia="Aptos" w:hAnsi="Arial" w:cs="Arial"/>
                <w:sz w:val="24"/>
                <w:szCs w:val="24"/>
              </w:rPr>
              <w:t xml:space="preserve">. </w:t>
            </w:r>
          </w:p>
          <w:p w14:paraId="7760663E" w14:textId="77777777" w:rsidR="005F4463" w:rsidRDefault="005F4463" w:rsidP="00277BB8">
            <w:pPr>
              <w:rPr>
                <w:rFonts w:ascii="Arial" w:hAnsi="Arial" w:cs="Arial"/>
                <w:sz w:val="24"/>
                <w:szCs w:val="24"/>
              </w:rPr>
            </w:pPr>
          </w:p>
          <w:p w14:paraId="483F4DF0" w14:textId="77777777" w:rsidR="005F4463" w:rsidRDefault="005F4463" w:rsidP="00277BB8">
            <w:pPr>
              <w:rPr>
                <w:rFonts w:ascii="Arial" w:hAnsi="Arial" w:cs="Arial"/>
                <w:sz w:val="24"/>
                <w:szCs w:val="24"/>
              </w:rPr>
            </w:pPr>
            <w:r w:rsidRPr="00404795">
              <w:rPr>
                <w:rFonts w:ascii="Arial" w:hAnsi="Arial" w:cs="Arial"/>
                <w:sz w:val="24"/>
                <w:szCs w:val="24"/>
              </w:rPr>
              <w:t>If we consider adding something like this, we’ll need to be specific and careful about what the authority is for</w:t>
            </w:r>
            <w:r>
              <w:rPr>
                <w:rFonts w:ascii="Arial" w:hAnsi="Arial" w:cs="Arial"/>
                <w:sz w:val="24"/>
                <w:szCs w:val="24"/>
              </w:rPr>
              <w:t>.</w:t>
            </w:r>
          </w:p>
          <w:p w14:paraId="3F9DBBF1" w14:textId="77777777" w:rsidR="005F4463" w:rsidRPr="00404795" w:rsidRDefault="005F4463" w:rsidP="00277BB8">
            <w:pPr>
              <w:rPr>
                <w:rFonts w:ascii="Arial" w:hAnsi="Arial" w:cs="Arial"/>
                <w:sz w:val="24"/>
                <w:szCs w:val="24"/>
              </w:rPr>
            </w:pPr>
          </w:p>
          <w:p w14:paraId="213FD888" w14:textId="4E23DF1A" w:rsidR="005F4463" w:rsidRPr="00404795" w:rsidRDefault="005F4463" w:rsidP="00277BB8">
            <w:pPr>
              <w:rPr>
                <w:rFonts w:ascii="Arial" w:hAnsi="Arial" w:cs="Arial"/>
                <w:sz w:val="24"/>
                <w:szCs w:val="24"/>
              </w:rPr>
            </w:pPr>
            <w:r w:rsidRPr="00404795">
              <w:rPr>
                <w:rFonts w:ascii="Arial" w:hAnsi="Arial" w:cs="Arial"/>
                <w:sz w:val="24"/>
                <w:szCs w:val="24"/>
              </w:rPr>
              <w:t xml:space="preserve">See UST statute </w:t>
            </w:r>
            <w:r w:rsidR="00904413">
              <w:rPr>
                <w:rFonts w:ascii="Arial" w:hAnsi="Arial" w:cs="Arial"/>
                <w:sz w:val="24"/>
                <w:szCs w:val="24"/>
              </w:rPr>
              <w:t xml:space="preserve">(HSC </w:t>
            </w:r>
            <w:r w:rsidR="00904413" w:rsidRPr="00904413">
              <w:rPr>
                <w:rFonts w:ascii="Arial" w:hAnsi="Arial" w:cs="Arial"/>
                <w:sz w:val="24"/>
                <w:szCs w:val="24"/>
              </w:rPr>
              <w:t>25292.3</w:t>
            </w:r>
            <w:r w:rsidR="00904413">
              <w:rPr>
                <w:rFonts w:ascii="Arial" w:hAnsi="Arial" w:cs="Arial"/>
                <w:sz w:val="24"/>
                <w:szCs w:val="24"/>
              </w:rPr>
              <w:t xml:space="preserve">) </w:t>
            </w:r>
            <w:r w:rsidRPr="00404795">
              <w:rPr>
                <w:rFonts w:ascii="Arial" w:hAnsi="Arial" w:cs="Arial"/>
                <w:sz w:val="24"/>
                <w:szCs w:val="24"/>
              </w:rPr>
              <w:t>for reference</w:t>
            </w:r>
            <w:r w:rsidR="00904413">
              <w:rPr>
                <w:rFonts w:ascii="Arial" w:hAnsi="Arial" w:cs="Arial"/>
                <w:sz w:val="24"/>
                <w:szCs w:val="24"/>
              </w:rPr>
              <w:t xml:space="preserve">. </w:t>
            </w:r>
          </w:p>
          <w:p w14:paraId="42C9AED1" w14:textId="77777777" w:rsidR="00361699" w:rsidRDefault="00361699" w:rsidP="00277BB8">
            <w:pPr>
              <w:rPr>
                <w:rFonts w:ascii="Arial" w:hAnsi="Arial" w:cs="Arial"/>
                <w:sz w:val="24"/>
                <w:szCs w:val="24"/>
              </w:rPr>
            </w:pPr>
          </w:p>
          <w:p w14:paraId="60C934DA" w14:textId="0AC5D08E" w:rsidR="005F4463" w:rsidRDefault="005F4463" w:rsidP="00277BB8">
            <w:pPr>
              <w:rPr>
                <w:rFonts w:ascii="Arial" w:hAnsi="Arial" w:cs="Arial"/>
                <w:sz w:val="24"/>
                <w:szCs w:val="24"/>
              </w:rPr>
            </w:pPr>
            <w:r w:rsidRPr="00404795">
              <w:rPr>
                <w:rFonts w:ascii="Arial" w:hAnsi="Arial" w:cs="Arial"/>
                <w:sz w:val="24"/>
                <w:szCs w:val="24"/>
              </w:rPr>
              <w:t xml:space="preserve">Going to require statute </w:t>
            </w:r>
            <w:r w:rsidR="00C363A8">
              <w:rPr>
                <w:rFonts w:ascii="Arial" w:hAnsi="Arial" w:cs="Arial"/>
                <w:sz w:val="24"/>
                <w:szCs w:val="24"/>
              </w:rPr>
              <w:t>and</w:t>
            </w:r>
            <w:r w:rsidRPr="00404795">
              <w:rPr>
                <w:rFonts w:ascii="Arial" w:hAnsi="Arial" w:cs="Arial"/>
                <w:sz w:val="24"/>
                <w:szCs w:val="24"/>
              </w:rPr>
              <w:t xml:space="preserve"> regulation updates if we want to split the authority from the “how”.</w:t>
            </w:r>
          </w:p>
          <w:p w14:paraId="296293ED" w14:textId="77777777" w:rsidR="00DE3335" w:rsidRPr="00404795" w:rsidRDefault="00DE3335" w:rsidP="00277BB8">
            <w:pPr>
              <w:rPr>
                <w:rFonts w:ascii="Arial" w:hAnsi="Arial" w:cs="Arial"/>
                <w:sz w:val="24"/>
                <w:szCs w:val="24"/>
              </w:rPr>
            </w:pPr>
          </w:p>
        </w:tc>
      </w:tr>
      <w:tr w:rsidR="000A52B7" w:rsidRPr="00404795" w14:paraId="25596174" w14:textId="77777777" w:rsidTr="00BA3921">
        <w:trPr>
          <w:trHeight w:val="300"/>
        </w:trPr>
        <w:tc>
          <w:tcPr>
            <w:tcW w:w="2324" w:type="dxa"/>
          </w:tcPr>
          <w:p w14:paraId="7FA30025" w14:textId="77777777" w:rsidR="000C220F" w:rsidRPr="00404795" w:rsidRDefault="000C220F" w:rsidP="00277BB8">
            <w:pPr>
              <w:rPr>
                <w:rFonts w:ascii="Arial" w:hAnsi="Arial" w:cs="Arial"/>
                <w:sz w:val="24"/>
                <w:szCs w:val="24"/>
              </w:rPr>
            </w:pPr>
          </w:p>
        </w:tc>
        <w:tc>
          <w:tcPr>
            <w:tcW w:w="7126" w:type="dxa"/>
          </w:tcPr>
          <w:p w14:paraId="2B49808E" w14:textId="0AF0CE56" w:rsidR="000C220F" w:rsidRDefault="000C220F" w:rsidP="00277BB8">
            <w:pPr>
              <w:rPr>
                <w:rFonts w:ascii="Arial" w:eastAsia="Aptos" w:hAnsi="Arial" w:cs="Arial"/>
                <w:sz w:val="24"/>
                <w:szCs w:val="24"/>
              </w:rPr>
            </w:pPr>
            <w:r w:rsidRPr="00404795">
              <w:rPr>
                <w:rFonts w:ascii="Arial" w:eastAsia="Aptos" w:hAnsi="Arial" w:cs="Arial"/>
                <w:sz w:val="24"/>
                <w:szCs w:val="24"/>
              </w:rPr>
              <w:t xml:space="preserve">Monitoring and/ or periodic leak testing for buried piping or piping that cannot be </w:t>
            </w:r>
            <w:r w:rsidR="00865AC2">
              <w:rPr>
                <w:rFonts w:ascii="Arial" w:eastAsia="Aptos" w:hAnsi="Arial" w:cs="Arial"/>
                <w:sz w:val="24"/>
                <w:szCs w:val="24"/>
              </w:rPr>
              <w:t>directly viewed</w:t>
            </w:r>
            <w:r w:rsidRPr="00404795">
              <w:rPr>
                <w:rFonts w:ascii="Arial" w:eastAsia="Aptos" w:hAnsi="Arial" w:cs="Arial"/>
                <w:sz w:val="24"/>
                <w:szCs w:val="24"/>
              </w:rPr>
              <w:t>.</w:t>
            </w:r>
          </w:p>
          <w:p w14:paraId="3B304CDE" w14:textId="77777777" w:rsidR="00865AC2" w:rsidRPr="00404795" w:rsidRDefault="00865AC2" w:rsidP="00277BB8">
            <w:pPr>
              <w:rPr>
                <w:rFonts w:ascii="Arial" w:eastAsia="Aptos" w:hAnsi="Arial" w:cs="Arial"/>
                <w:sz w:val="24"/>
                <w:szCs w:val="24"/>
              </w:rPr>
            </w:pPr>
          </w:p>
          <w:p w14:paraId="3DD59DD4" w14:textId="77777777" w:rsidR="000C220F" w:rsidRPr="00404795" w:rsidRDefault="000C220F" w:rsidP="00277BB8">
            <w:pPr>
              <w:rPr>
                <w:rFonts w:ascii="Arial" w:hAnsi="Arial" w:cs="Arial"/>
                <w:sz w:val="24"/>
                <w:szCs w:val="24"/>
              </w:rPr>
            </w:pPr>
            <w:r w:rsidRPr="00404795">
              <w:rPr>
                <w:rFonts w:ascii="Arial" w:hAnsi="Arial" w:cs="Arial"/>
                <w:sz w:val="24"/>
                <w:szCs w:val="24"/>
              </w:rPr>
              <w:t>Types of pipeline monitoring borrowed from the UST world:</w:t>
            </w:r>
          </w:p>
          <w:p w14:paraId="4714AA7A" w14:textId="70AA1B22" w:rsidR="000C220F" w:rsidRPr="00404795" w:rsidRDefault="000C220F" w:rsidP="00277BB8">
            <w:pPr>
              <w:pStyle w:val="ListParagraph"/>
              <w:numPr>
                <w:ilvl w:val="0"/>
                <w:numId w:val="2"/>
              </w:numPr>
              <w:rPr>
                <w:rFonts w:ascii="Arial" w:eastAsia="Aptos" w:hAnsi="Arial" w:cs="Arial"/>
                <w:sz w:val="24"/>
                <w:szCs w:val="24"/>
              </w:rPr>
            </w:pPr>
            <w:r w:rsidRPr="00404795">
              <w:rPr>
                <w:rFonts w:ascii="Arial" w:eastAsia="Aptos" w:hAnsi="Arial" w:cs="Arial"/>
                <w:sz w:val="24"/>
                <w:szCs w:val="24"/>
              </w:rPr>
              <w:lastRenderedPageBreak/>
              <w:t>Pressure decay testing</w:t>
            </w:r>
            <w:r w:rsidR="001520E8">
              <w:rPr>
                <w:rFonts w:ascii="Arial" w:eastAsia="Aptos" w:hAnsi="Arial" w:cs="Arial"/>
                <w:sz w:val="24"/>
                <w:szCs w:val="24"/>
              </w:rPr>
              <w:t xml:space="preserve"> (</w:t>
            </w:r>
            <w:r w:rsidR="00E15711">
              <w:rPr>
                <w:rFonts w:ascii="Arial" w:eastAsia="Aptos" w:hAnsi="Arial" w:cs="Arial"/>
                <w:sz w:val="24"/>
                <w:szCs w:val="24"/>
              </w:rPr>
              <w:t>CCR Title 23, Chapter 16, Article 4, Section 2643(e))</w:t>
            </w:r>
            <w:r w:rsidR="00E8188E">
              <w:rPr>
                <w:rFonts w:ascii="Arial" w:eastAsia="Aptos" w:hAnsi="Arial" w:cs="Arial"/>
                <w:sz w:val="24"/>
                <w:szCs w:val="24"/>
              </w:rPr>
              <w:t xml:space="preserve"> – 0.1 </w:t>
            </w:r>
            <w:r w:rsidR="009E2A1A">
              <w:rPr>
                <w:rFonts w:ascii="Arial" w:eastAsia="Aptos" w:hAnsi="Arial" w:cs="Arial"/>
                <w:sz w:val="24"/>
                <w:szCs w:val="24"/>
              </w:rPr>
              <w:t>g</w:t>
            </w:r>
            <w:r w:rsidR="004E32AA">
              <w:rPr>
                <w:rFonts w:ascii="Arial" w:eastAsia="Aptos" w:hAnsi="Arial" w:cs="Arial"/>
                <w:sz w:val="24"/>
                <w:szCs w:val="24"/>
              </w:rPr>
              <w:t>allons per hour</w:t>
            </w:r>
            <w:r w:rsidR="00E8188E">
              <w:rPr>
                <w:rFonts w:ascii="Arial" w:eastAsia="Aptos" w:hAnsi="Arial" w:cs="Arial"/>
                <w:sz w:val="24"/>
                <w:szCs w:val="24"/>
              </w:rPr>
              <w:t xml:space="preserve"> at 40 psi</w:t>
            </w:r>
            <w:r w:rsidR="00813276">
              <w:rPr>
                <w:rFonts w:ascii="Arial" w:eastAsia="Aptos" w:hAnsi="Arial" w:cs="Arial"/>
                <w:sz w:val="24"/>
                <w:szCs w:val="24"/>
              </w:rPr>
              <w:t xml:space="preserve"> (gravity fed)</w:t>
            </w:r>
          </w:p>
          <w:p w14:paraId="7EDCE9B3" w14:textId="48DFE502" w:rsidR="000C220F" w:rsidRPr="00404795" w:rsidRDefault="00994ACC" w:rsidP="00277BB8">
            <w:pPr>
              <w:pStyle w:val="ListParagraph"/>
              <w:numPr>
                <w:ilvl w:val="0"/>
                <w:numId w:val="2"/>
              </w:numPr>
              <w:rPr>
                <w:rFonts w:ascii="Arial" w:eastAsia="Aptos" w:hAnsi="Arial" w:cs="Arial"/>
                <w:sz w:val="24"/>
                <w:szCs w:val="24"/>
              </w:rPr>
            </w:pPr>
            <w:r>
              <w:rPr>
                <w:rFonts w:ascii="Arial" w:eastAsia="Aptos" w:hAnsi="Arial" w:cs="Arial"/>
                <w:sz w:val="24"/>
                <w:szCs w:val="24"/>
              </w:rPr>
              <w:t>L</w:t>
            </w:r>
            <w:r w:rsidR="000C220F" w:rsidRPr="00404795">
              <w:rPr>
                <w:rFonts w:ascii="Arial" w:eastAsia="Aptos" w:hAnsi="Arial" w:cs="Arial"/>
                <w:sz w:val="24"/>
                <w:szCs w:val="24"/>
              </w:rPr>
              <w:t>ine leak detection between the pump and dispenser</w:t>
            </w:r>
            <w:r w:rsidR="0047030D">
              <w:rPr>
                <w:rFonts w:ascii="Arial" w:eastAsia="Aptos" w:hAnsi="Arial" w:cs="Arial"/>
                <w:sz w:val="24"/>
                <w:szCs w:val="24"/>
              </w:rPr>
              <w:t xml:space="preserve"> </w:t>
            </w:r>
            <w:r w:rsidR="008B2592">
              <w:rPr>
                <w:rFonts w:ascii="Arial" w:eastAsia="Aptos" w:hAnsi="Arial" w:cs="Arial"/>
                <w:sz w:val="24"/>
                <w:szCs w:val="24"/>
              </w:rPr>
              <w:t xml:space="preserve">for a leak of 3 </w:t>
            </w:r>
            <w:r w:rsidR="009E2A1A">
              <w:rPr>
                <w:rFonts w:ascii="Arial" w:eastAsia="Aptos" w:hAnsi="Arial" w:cs="Arial"/>
                <w:sz w:val="24"/>
                <w:szCs w:val="24"/>
              </w:rPr>
              <w:t>g</w:t>
            </w:r>
            <w:r w:rsidR="004E32AA">
              <w:rPr>
                <w:rFonts w:ascii="Arial" w:eastAsia="Aptos" w:hAnsi="Arial" w:cs="Arial"/>
                <w:sz w:val="24"/>
                <w:szCs w:val="24"/>
              </w:rPr>
              <w:t>allons per hour</w:t>
            </w:r>
            <w:r w:rsidR="00813276">
              <w:rPr>
                <w:rFonts w:ascii="Arial" w:eastAsia="Aptos" w:hAnsi="Arial" w:cs="Arial"/>
                <w:sz w:val="24"/>
                <w:szCs w:val="24"/>
              </w:rPr>
              <w:t xml:space="preserve"> (pressurized)</w:t>
            </w:r>
          </w:p>
          <w:p w14:paraId="7BFE80FE" w14:textId="77777777" w:rsidR="000C220F" w:rsidRPr="00404795" w:rsidRDefault="000C220F" w:rsidP="00277BB8">
            <w:pPr>
              <w:pStyle w:val="ListParagraph"/>
              <w:numPr>
                <w:ilvl w:val="0"/>
                <w:numId w:val="1"/>
              </w:numPr>
              <w:rPr>
                <w:rFonts w:ascii="Arial" w:eastAsia="Aptos" w:hAnsi="Arial" w:cs="Arial"/>
                <w:sz w:val="24"/>
                <w:szCs w:val="24"/>
              </w:rPr>
            </w:pPr>
            <w:r w:rsidRPr="00404795">
              <w:rPr>
                <w:rFonts w:ascii="Arial" w:eastAsia="Aptos" w:hAnsi="Arial" w:cs="Arial"/>
                <w:sz w:val="24"/>
                <w:szCs w:val="24"/>
              </w:rPr>
              <w:t>Mechanical</w:t>
            </w:r>
          </w:p>
          <w:p w14:paraId="6DA791F9" w14:textId="77777777" w:rsidR="000C220F" w:rsidRPr="00404795" w:rsidRDefault="000C220F" w:rsidP="00277BB8">
            <w:pPr>
              <w:pStyle w:val="ListParagraph"/>
              <w:numPr>
                <w:ilvl w:val="0"/>
                <w:numId w:val="1"/>
              </w:numPr>
              <w:rPr>
                <w:rFonts w:ascii="Arial" w:eastAsia="Aptos" w:hAnsi="Arial" w:cs="Arial"/>
                <w:sz w:val="24"/>
                <w:szCs w:val="24"/>
              </w:rPr>
            </w:pPr>
            <w:r w:rsidRPr="00404795">
              <w:rPr>
                <w:rFonts w:ascii="Arial" w:eastAsia="Aptos" w:hAnsi="Arial" w:cs="Arial"/>
                <w:sz w:val="24"/>
                <w:szCs w:val="24"/>
              </w:rPr>
              <w:t>Electronic</w:t>
            </w:r>
          </w:p>
          <w:p w14:paraId="5097E77B" w14:textId="42007683" w:rsidR="000C220F" w:rsidRPr="00404795" w:rsidRDefault="000C220F" w:rsidP="00277BB8">
            <w:pPr>
              <w:pStyle w:val="ListParagraph"/>
              <w:numPr>
                <w:ilvl w:val="0"/>
                <w:numId w:val="2"/>
              </w:numPr>
              <w:rPr>
                <w:rFonts w:ascii="Arial" w:eastAsia="Aptos" w:hAnsi="Arial" w:cs="Arial"/>
                <w:sz w:val="24"/>
                <w:szCs w:val="24"/>
              </w:rPr>
            </w:pPr>
            <w:r w:rsidRPr="00404795">
              <w:rPr>
                <w:rFonts w:ascii="Arial" w:eastAsia="Aptos" w:hAnsi="Arial" w:cs="Arial"/>
                <w:sz w:val="24"/>
                <w:szCs w:val="24"/>
              </w:rPr>
              <w:t xml:space="preserve">Automatic </w:t>
            </w:r>
            <w:r w:rsidR="00994ACC">
              <w:rPr>
                <w:rFonts w:ascii="Arial" w:eastAsia="Aptos" w:hAnsi="Arial" w:cs="Arial"/>
                <w:sz w:val="24"/>
                <w:szCs w:val="24"/>
              </w:rPr>
              <w:t>t</w:t>
            </w:r>
            <w:r w:rsidRPr="00404795">
              <w:rPr>
                <w:rFonts w:ascii="Arial" w:eastAsia="Aptos" w:hAnsi="Arial" w:cs="Arial"/>
                <w:sz w:val="24"/>
                <w:szCs w:val="24"/>
              </w:rPr>
              <w:t xml:space="preserve">ank </w:t>
            </w:r>
            <w:r w:rsidR="00994ACC">
              <w:rPr>
                <w:rFonts w:ascii="Arial" w:eastAsia="Aptos" w:hAnsi="Arial" w:cs="Arial"/>
                <w:sz w:val="24"/>
                <w:szCs w:val="24"/>
              </w:rPr>
              <w:t>g</w:t>
            </w:r>
            <w:r w:rsidRPr="00404795">
              <w:rPr>
                <w:rFonts w:ascii="Arial" w:eastAsia="Aptos" w:hAnsi="Arial" w:cs="Arial"/>
                <w:sz w:val="24"/>
                <w:szCs w:val="24"/>
              </w:rPr>
              <w:t>auge (ATG), where installed, to perform precision leak testing and/or monitoring</w:t>
            </w:r>
          </w:p>
          <w:p w14:paraId="2A26A613" w14:textId="77777777" w:rsidR="00437F43" w:rsidRPr="00E55F49" w:rsidRDefault="000C220F" w:rsidP="00277BB8">
            <w:pPr>
              <w:pStyle w:val="ListParagraph"/>
              <w:numPr>
                <w:ilvl w:val="0"/>
                <w:numId w:val="2"/>
              </w:numPr>
              <w:rPr>
                <w:rFonts w:ascii="Arial" w:eastAsia="Aptos" w:hAnsi="Arial" w:cs="Arial"/>
                <w:sz w:val="24"/>
                <w:szCs w:val="24"/>
              </w:rPr>
            </w:pPr>
            <w:r>
              <w:rPr>
                <w:rFonts w:ascii="Arial" w:eastAsia="Aptos" w:hAnsi="Arial" w:cs="Arial"/>
                <w:sz w:val="24"/>
                <w:szCs w:val="24"/>
              </w:rPr>
              <w:t>S</w:t>
            </w:r>
            <w:r w:rsidRPr="00404795">
              <w:rPr>
                <w:rFonts w:ascii="Arial" w:eastAsia="Aptos" w:hAnsi="Arial" w:cs="Arial"/>
                <w:sz w:val="24"/>
                <w:szCs w:val="24"/>
              </w:rPr>
              <w:t>ingle wall precision monitoring</w:t>
            </w:r>
            <w:r w:rsidR="00437F43">
              <w:rPr>
                <w:rFonts w:ascii="Arial" w:hAnsi="Arial" w:cs="Arial"/>
                <w:sz w:val="24"/>
                <w:szCs w:val="24"/>
              </w:rPr>
              <w:t xml:space="preserve"> </w:t>
            </w:r>
          </w:p>
          <w:p w14:paraId="6E98346B" w14:textId="0DA5BBEA" w:rsidR="000C220F" w:rsidRDefault="00437F43" w:rsidP="00277BB8">
            <w:pPr>
              <w:pStyle w:val="ListParagraph"/>
              <w:numPr>
                <w:ilvl w:val="0"/>
                <w:numId w:val="2"/>
              </w:numPr>
              <w:rPr>
                <w:rFonts w:ascii="Arial" w:eastAsia="Aptos" w:hAnsi="Arial" w:cs="Arial"/>
                <w:sz w:val="24"/>
                <w:szCs w:val="24"/>
              </w:rPr>
            </w:pPr>
            <w:r>
              <w:rPr>
                <w:rFonts w:ascii="Arial" w:hAnsi="Arial" w:cs="Arial"/>
                <w:sz w:val="24"/>
                <w:szCs w:val="24"/>
              </w:rPr>
              <w:t>Inventory reconciliation</w:t>
            </w:r>
          </w:p>
          <w:p w14:paraId="601FEBCC" w14:textId="77777777" w:rsidR="000C220F" w:rsidRDefault="000C220F" w:rsidP="00277BB8">
            <w:pPr>
              <w:rPr>
                <w:rFonts w:ascii="Arial" w:eastAsia="Aptos" w:hAnsi="Arial" w:cs="Arial"/>
                <w:sz w:val="24"/>
                <w:szCs w:val="24"/>
              </w:rPr>
            </w:pPr>
          </w:p>
          <w:p w14:paraId="43A5E5EC" w14:textId="77777777" w:rsidR="000C220F" w:rsidRDefault="000C220F" w:rsidP="00277BB8">
            <w:pPr>
              <w:rPr>
                <w:rFonts w:ascii="Arial" w:eastAsia="Aptos" w:hAnsi="Arial" w:cs="Arial"/>
                <w:sz w:val="24"/>
                <w:szCs w:val="24"/>
              </w:rPr>
            </w:pPr>
            <w:r>
              <w:rPr>
                <w:rFonts w:ascii="Arial" w:eastAsia="Aptos" w:hAnsi="Arial" w:cs="Arial"/>
                <w:sz w:val="24"/>
                <w:szCs w:val="24"/>
              </w:rPr>
              <w:t xml:space="preserve">For reference, below excerpts are from </w:t>
            </w:r>
            <w:r w:rsidRPr="00CA3265">
              <w:rPr>
                <w:rFonts w:ascii="Arial" w:eastAsia="Aptos" w:hAnsi="Arial" w:cs="Arial"/>
                <w:sz w:val="24"/>
                <w:szCs w:val="24"/>
              </w:rPr>
              <w:t>CCR Title 23</w:t>
            </w:r>
            <w:r>
              <w:rPr>
                <w:rFonts w:ascii="Arial" w:eastAsia="Aptos" w:hAnsi="Arial" w:cs="Arial"/>
                <w:sz w:val="24"/>
                <w:szCs w:val="24"/>
              </w:rPr>
              <w:t>,</w:t>
            </w:r>
            <w:r w:rsidRPr="00CA3265">
              <w:rPr>
                <w:rFonts w:ascii="Arial" w:eastAsia="Aptos" w:hAnsi="Arial" w:cs="Arial"/>
                <w:sz w:val="24"/>
                <w:szCs w:val="24"/>
              </w:rPr>
              <w:t xml:space="preserve"> Chapter 16</w:t>
            </w:r>
            <w:r>
              <w:rPr>
                <w:rFonts w:ascii="Arial" w:eastAsia="Aptos" w:hAnsi="Arial" w:cs="Arial"/>
                <w:sz w:val="24"/>
                <w:szCs w:val="24"/>
              </w:rPr>
              <w:t>,</w:t>
            </w:r>
            <w:r w:rsidRPr="00CA3265">
              <w:rPr>
                <w:rFonts w:ascii="Arial" w:eastAsia="Aptos" w:hAnsi="Arial" w:cs="Arial"/>
                <w:sz w:val="24"/>
                <w:szCs w:val="24"/>
              </w:rPr>
              <w:t xml:space="preserve"> Article 4</w:t>
            </w:r>
            <w:r>
              <w:rPr>
                <w:rFonts w:ascii="Arial" w:eastAsia="Aptos" w:hAnsi="Arial" w:cs="Arial"/>
                <w:sz w:val="24"/>
                <w:szCs w:val="24"/>
              </w:rPr>
              <w:t xml:space="preserve"> –</w:t>
            </w:r>
            <w:r w:rsidRPr="00CA3265">
              <w:rPr>
                <w:rFonts w:ascii="Arial" w:eastAsia="Aptos" w:hAnsi="Arial" w:cs="Arial"/>
                <w:sz w:val="24"/>
                <w:szCs w:val="24"/>
              </w:rPr>
              <w:t xml:space="preserve"> Existing Underground Storage Tank Monitoring Requirements (USTs installed before 1984 and could have single walled tanks)</w:t>
            </w:r>
            <w:r>
              <w:rPr>
                <w:rFonts w:ascii="Arial" w:eastAsia="Aptos" w:hAnsi="Arial" w:cs="Arial"/>
                <w:sz w:val="24"/>
                <w:szCs w:val="24"/>
              </w:rPr>
              <w:t>,</w:t>
            </w:r>
            <w:r w:rsidRPr="00CA3265">
              <w:rPr>
                <w:rFonts w:ascii="Arial" w:eastAsia="Aptos" w:hAnsi="Arial" w:cs="Arial"/>
                <w:sz w:val="24"/>
                <w:szCs w:val="24"/>
              </w:rPr>
              <w:t xml:space="preserve"> Section 2643(c)(2) and Section 2643(c)(3):</w:t>
            </w:r>
          </w:p>
          <w:p w14:paraId="4E726F64" w14:textId="77777777" w:rsidR="000C220F" w:rsidRDefault="000C220F" w:rsidP="00277BB8">
            <w:pPr>
              <w:rPr>
                <w:rFonts w:ascii="Arial" w:eastAsia="Aptos" w:hAnsi="Arial" w:cs="Arial"/>
                <w:sz w:val="24"/>
                <w:szCs w:val="24"/>
              </w:rPr>
            </w:pPr>
          </w:p>
          <w:p w14:paraId="1A988870" w14:textId="77777777" w:rsidR="002C3B88" w:rsidRDefault="000C220F" w:rsidP="00277BB8">
            <w:pPr>
              <w:rPr>
                <w:rFonts w:ascii="Arial" w:eastAsia="Aptos" w:hAnsi="Arial" w:cs="Arial"/>
                <w:sz w:val="24"/>
                <w:szCs w:val="24"/>
              </w:rPr>
            </w:pPr>
            <w:r w:rsidRPr="004571FD">
              <w:rPr>
                <w:rFonts w:ascii="Arial" w:eastAsia="Aptos" w:hAnsi="Arial" w:cs="Arial"/>
                <w:sz w:val="24"/>
                <w:szCs w:val="24"/>
              </w:rPr>
              <w:t>(2)</w:t>
            </w:r>
            <w:r>
              <w:rPr>
                <w:rFonts w:ascii="Arial" w:eastAsia="Aptos" w:hAnsi="Arial" w:cs="Arial"/>
                <w:sz w:val="24"/>
                <w:szCs w:val="24"/>
              </w:rPr>
              <w:t xml:space="preserve"> </w:t>
            </w:r>
            <w:r w:rsidRPr="004571FD">
              <w:rPr>
                <w:rFonts w:ascii="Arial" w:eastAsia="Aptos" w:hAnsi="Arial" w:cs="Arial"/>
                <w:sz w:val="24"/>
                <w:szCs w:val="24"/>
              </w:rPr>
              <w:t xml:space="preserve">Monitoring shall be conducted at least once every 30 days </w:t>
            </w:r>
            <w:proofErr w:type="gramStart"/>
            <w:r w:rsidRPr="004571FD">
              <w:rPr>
                <w:rFonts w:ascii="Arial" w:eastAsia="Aptos" w:hAnsi="Arial" w:cs="Arial"/>
                <w:sz w:val="24"/>
                <w:szCs w:val="24"/>
              </w:rPr>
              <w:t>at</w:t>
            </w:r>
            <w:proofErr w:type="gramEnd"/>
            <w:r w:rsidRPr="004571FD">
              <w:rPr>
                <w:rFonts w:ascii="Arial" w:eastAsia="Aptos" w:hAnsi="Arial" w:cs="Arial"/>
                <w:sz w:val="24"/>
                <w:szCs w:val="24"/>
              </w:rPr>
              <w:t xml:space="preserve"> any pressure. The monitoring method shall be capable of detecting a minimum release equivalent to 0.2 gallons per hour defined at normal operating pressure; or</w:t>
            </w:r>
          </w:p>
          <w:p w14:paraId="1728354F" w14:textId="6457E27C" w:rsidR="000C220F" w:rsidRDefault="000C220F" w:rsidP="00277BB8">
            <w:pPr>
              <w:rPr>
                <w:rFonts w:ascii="Arial" w:eastAsia="Aptos" w:hAnsi="Arial" w:cs="Arial"/>
                <w:sz w:val="24"/>
                <w:szCs w:val="24"/>
              </w:rPr>
            </w:pPr>
            <w:r w:rsidRPr="004571FD">
              <w:rPr>
                <w:rFonts w:ascii="Arial" w:eastAsia="Aptos" w:hAnsi="Arial" w:cs="Arial"/>
                <w:sz w:val="24"/>
                <w:szCs w:val="24"/>
              </w:rPr>
              <w:t>(3)</w:t>
            </w:r>
            <w:r>
              <w:rPr>
                <w:rFonts w:ascii="Arial" w:eastAsia="Aptos" w:hAnsi="Arial" w:cs="Arial"/>
                <w:sz w:val="24"/>
                <w:szCs w:val="24"/>
              </w:rPr>
              <w:t xml:space="preserve"> </w:t>
            </w:r>
            <w:r w:rsidRPr="004571FD">
              <w:rPr>
                <w:rFonts w:ascii="Arial" w:eastAsia="Aptos" w:hAnsi="Arial" w:cs="Arial"/>
                <w:sz w:val="24"/>
                <w:szCs w:val="24"/>
              </w:rPr>
              <w:t>Monitoring shall be conducted at least once every 12 months at a pressure designated by the equipment manufacturer. The monitoring method shall be capable of detecting a minimum release equivalent to 0.1 gallons per hour defined at 150 percent (</w:t>
            </w:r>
            <w:proofErr w:type="gramStart"/>
            <w:r w:rsidRPr="004571FD">
              <w:rPr>
                <w:rFonts w:ascii="Arial" w:eastAsia="Aptos" w:hAnsi="Arial" w:cs="Arial"/>
                <w:sz w:val="24"/>
                <w:szCs w:val="24"/>
              </w:rPr>
              <w:t>one and one half</w:t>
            </w:r>
            <w:proofErr w:type="gramEnd"/>
            <w:r w:rsidRPr="004571FD">
              <w:rPr>
                <w:rFonts w:ascii="Arial" w:eastAsia="Aptos" w:hAnsi="Arial" w:cs="Arial"/>
                <w:sz w:val="24"/>
                <w:szCs w:val="24"/>
              </w:rPr>
              <w:t xml:space="preserve"> times) the normal operating pressure.</w:t>
            </w:r>
          </w:p>
          <w:p w14:paraId="7C91D357" w14:textId="77777777" w:rsidR="000C220F" w:rsidRPr="00277BB8" w:rsidRDefault="000C220F" w:rsidP="00277BB8">
            <w:pPr>
              <w:rPr>
                <w:rFonts w:ascii="Arial" w:eastAsia="Aptos" w:hAnsi="Arial" w:cs="Arial"/>
                <w:sz w:val="24"/>
                <w:szCs w:val="24"/>
              </w:rPr>
            </w:pPr>
          </w:p>
        </w:tc>
        <w:tc>
          <w:tcPr>
            <w:tcW w:w="5040" w:type="dxa"/>
          </w:tcPr>
          <w:p w14:paraId="0165A0ED" w14:textId="4567EAE8" w:rsidR="000C220F" w:rsidRDefault="000C220F" w:rsidP="00277BB8">
            <w:pPr>
              <w:rPr>
                <w:rFonts w:ascii="Arial" w:hAnsi="Arial" w:cs="Arial"/>
                <w:sz w:val="24"/>
                <w:szCs w:val="24"/>
              </w:rPr>
            </w:pPr>
            <w:r w:rsidRPr="00404795">
              <w:rPr>
                <w:rFonts w:ascii="Arial" w:hAnsi="Arial" w:cs="Arial"/>
                <w:sz w:val="24"/>
                <w:szCs w:val="24"/>
              </w:rPr>
              <w:lastRenderedPageBreak/>
              <w:t>A</w:t>
            </w:r>
            <w:r>
              <w:rPr>
                <w:rFonts w:ascii="Arial" w:hAnsi="Arial" w:cs="Arial"/>
                <w:sz w:val="24"/>
                <w:szCs w:val="24"/>
              </w:rPr>
              <w:t>side from category IV TIUGAs, a</w:t>
            </w:r>
            <w:r w:rsidRPr="00404795">
              <w:rPr>
                <w:rFonts w:ascii="Arial" w:hAnsi="Arial" w:cs="Arial"/>
                <w:sz w:val="24"/>
                <w:szCs w:val="24"/>
              </w:rPr>
              <w:t xml:space="preserve"> number of high volume / high</w:t>
            </w:r>
            <w:r w:rsidR="00CE0D7F">
              <w:rPr>
                <w:rFonts w:ascii="Arial" w:hAnsi="Arial" w:cs="Arial"/>
                <w:sz w:val="24"/>
                <w:szCs w:val="24"/>
              </w:rPr>
              <w:t>-</w:t>
            </w:r>
            <w:r w:rsidRPr="00404795">
              <w:rPr>
                <w:rFonts w:ascii="Arial" w:hAnsi="Arial" w:cs="Arial"/>
                <w:sz w:val="24"/>
                <w:szCs w:val="24"/>
              </w:rPr>
              <w:t xml:space="preserve">capacity </w:t>
            </w:r>
            <w:r>
              <w:rPr>
                <w:rFonts w:ascii="Arial" w:hAnsi="Arial" w:cs="Arial"/>
                <w:sz w:val="24"/>
                <w:szCs w:val="24"/>
              </w:rPr>
              <w:t>tank facilities</w:t>
            </w:r>
            <w:r w:rsidRPr="00404795">
              <w:rPr>
                <w:rFonts w:ascii="Arial" w:hAnsi="Arial" w:cs="Arial"/>
                <w:sz w:val="24"/>
                <w:szCs w:val="24"/>
              </w:rPr>
              <w:t xml:space="preserve"> have buried piping and there currently is no requirement for leak detection or monitoring in APSA statute or regulation. </w:t>
            </w:r>
          </w:p>
          <w:p w14:paraId="5143785C" w14:textId="77777777" w:rsidR="009B5DFD" w:rsidRPr="00404795" w:rsidRDefault="009B5DFD" w:rsidP="00277BB8">
            <w:pPr>
              <w:rPr>
                <w:rFonts w:ascii="Arial" w:hAnsi="Arial" w:cs="Arial"/>
                <w:sz w:val="24"/>
                <w:szCs w:val="24"/>
              </w:rPr>
            </w:pPr>
          </w:p>
          <w:p w14:paraId="281B8348" w14:textId="78B0DCE0" w:rsidR="000C220F" w:rsidRDefault="000C220F" w:rsidP="00277BB8">
            <w:pPr>
              <w:rPr>
                <w:rFonts w:ascii="Arial" w:hAnsi="Arial" w:cs="Arial"/>
                <w:sz w:val="24"/>
                <w:szCs w:val="24"/>
              </w:rPr>
            </w:pPr>
            <w:r w:rsidRPr="00404795">
              <w:rPr>
                <w:rFonts w:ascii="Arial" w:hAnsi="Arial" w:cs="Arial"/>
                <w:sz w:val="24"/>
                <w:szCs w:val="24"/>
              </w:rPr>
              <w:t xml:space="preserve">There is </w:t>
            </w:r>
            <w:r w:rsidR="00BB4850">
              <w:rPr>
                <w:rFonts w:ascii="Arial" w:hAnsi="Arial" w:cs="Arial"/>
                <w:sz w:val="24"/>
                <w:szCs w:val="24"/>
              </w:rPr>
              <w:t>fire code r</w:t>
            </w:r>
            <w:r w:rsidRPr="00404795">
              <w:rPr>
                <w:rFonts w:ascii="Arial" w:hAnsi="Arial" w:cs="Arial"/>
                <w:sz w:val="24"/>
                <w:szCs w:val="24"/>
              </w:rPr>
              <w:t>equirement to test piping for leaks at the time of installation. The compliance rate with the requirement is unknown. Research the specifics of this requirement, including permitting and record keeping.</w:t>
            </w:r>
          </w:p>
          <w:p w14:paraId="1D17FB5D" w14:textId="77777777" w:rsidR="0047727D" w:rsidRDefault="0047727D" w:rsidP="00277BB8">
            <w:pPr>
              <w:rPr>
                <w:rFonts w:ascii="Arial" w:hAnsi="Arial" w:cs="Arial"/>
                <w:sz w:val="24"/>
                <w:szCs w:val="24"/>
              </w:rPr>
            </w:pPr>
          </w:p>
          <w:p w14:paraId="757157B3" w14:textId="1251832B" w:rsidR="0086776C" w:rsidRDefault="0047030D" w:rsidP="00277BB8">
            <w:pPr>
              <w:rPr>
                <w:rFonts w:ascii="Arial" w:hAnsi="Arial" w:cs="Arial"/>
                <w:sz w:val="24"/>
                <w:szCs w:val="24"/>
              </w:rPr>
            </w:pPr>
            <w:r>
              <w:rPr>
                <w:rFonts w:ascii="Arial" w:hAnsi="Arial" w:cs="Arial"/>
                <w:sz w:val="24"/>
                <w:szCs w:val="24"/>
              </w:rPr>
              <w:t xml:space="preserve">Leak detection </w:t>
            </w:r>
            <w:r w:rsidR="0047727D">
              <w:rPr>
                <w:rFonts w:ascii="Arial" w:hAnsi="Arial" w:cs="Arial"/>
                <w:sz w:val="24"/>
                <w:szCs w:val="24"/>
              </w:rPr>
              <w:t xml:space="preserve">is required in fire code for remote pump systems for motor fuel dispensing facilities/operations. </w:t>
            </w:r>
          </w:p>
          <w:p w14:paraId="0F31CBCD" w14:textId="77777777" w:rsidR="00C92057" w:rsidRDefault="00C92057" w:rsidP="00277BB8">
            <w:pPr>
              <w:rPr>
                <w:rFonts w:ascii="Arial" w:hAnsi="Arial" w:cs="Arial"/>
                <w:sz w:val="24"/>
                <w:szCs w:val="24"/>
              </w:rPr>
            </w:pPr>
          </w:p>
          <w:p w14:paraId="3F3A0CBE" w14:textId="392F7AB4" w:rsidR="00C92057" w:rsidRDefault="00C30556" w:rsidP="00277BB8">
            <w:pPr>
              <w:rPr>
                <w:rFonts w:ascii="Arial" w:hAnsi="Arial" w:cs="Arial"/>
                <w:sz w:val="24"/>
                <w:szCs w:val="24"/>
              </w:rPr>
            </w:pPr>
            <w:r>
              <w:rPr>
                <w:rFonts w:ascii="Arial" w:hAnsi="Arial" w:cs="Arial"/>
                <w:sz w:val="24"/>
                <w:szCs w:val="24"/>
              </w:rPr>
              <w:t>Would need</w:t>
            </w:r>
            <w:r w:rsidR="00C92057">
              <w:rPr>
                <w:rFonts w:ascii="Arial" w:hAnsi="Arial" w:cs="Arial"/>
                <w:sz w:val="24"/>
                <w:szCs w:val="24"/>
              </w:rPr>
              <w:t xml:space="preserve"> a proposal</w:t>
            </w:r>
            <w:r w:rsidR="004F3389">
              <w:rPr>
                <w:rFonts w:ascii="Arial" w:hAnsi="Arial" w:cs="Arial"/>
                <w:sz w:val="24"/>
                <w:szCs w:val="24"/>
              </w:rPr>
              <w:t xml:space="preserve"> in</w:t>
            </w:r>
            <w:r w:rsidR="00C92057">
              <w:rPr>
                <w:rFonts w:ascii="Arial" w:hAnsi="Arial" w:cs="Arial"/>
                <w:sz w:val="24"/>
                <w:szCs w:val="24"/>
              </w:rPr>
              <w:t xml:space="preserve"> statute</w:t>
            </w:r>
            <w:r w:rsidR="006C4CCD">
              <w:rPr>
                <w:rFonts w:ascii="Arial" w:hAnsi="Arial" w:cs="Arial"/>
                <w:sz w:val="24"/>
                <w:szCs w:val="24"/>
              </w:rPr>
              <w:t xml:space="preserve"> for authority</w:t>
            </w:r>
            <w:r w:rsidR="00C92057">
              <w:rPr>
                <w:rFonts w:ascii="Arial" w:hAnsi="Arial" w:cs="Arial"/>
                <w:sz w:val="24"/>
                <w:szCs w:val="24"/>
              </w:rPr>
              <w:t xml:space="preserve"> </w:t>
            </w:r>
            <w:r w:rsidR="004F3389">
              <w:rPr>
                <w:rFonts w:ascii="Arial" w:hAnsi="Arial" w:cs="Arial"/>
                <w:sz w:val="24"/>
                <w:szCs w:val="24"/>
              </w:rPr>
              <w:t xml:space="preserve">first and </w:t>
            </w:r>
            <w:r w:rsidR="006C4CCD">
              <w:rPr>
                <w:rFonts w:ascii="Arial" w:hAnsi="Arial" w:cs="Arial"/>
                <w:sz w:val="24"/>
                <w:szCs w:val="24"/>
              </w:rPr>
              <w:t>include specifics in regulations</w:t>
            </w:r>
            <w:r w:rsidR="00055DB4">
              <w:rPr>
                <w:rFonts w:ascii="Arial" w:hAnsi="Arial" w:cs="Arial"/>
                <w:sz w:val="24"/>
                <w:szCs w:val="24"/>
              </w:rPr>
              <w:t xml:space="preserve"> later</w:t>
            </w:r>
            <w:r w:rsidR="00FE73C4">
              <w:rPr>
                <w:rFonts w:ascii="Arial" w:hAnsi="Arial" w:cs="Arial"/>
                <w:sz w:val="24"/>
                <w:szCs w:val="24"/>
              </w:rPr>
              <w:t xml:space="preserve">.  Refer to </w:t>
            </w:r>
            <w:r w:rsidR="00957CE9">
              <w:rPr>
                <w:rFonts w:ascii="Arial" w:hAnsi="Arial" w:cs="Arial"/>
                <w:sz w:val="24"/>
                <w:szCs w:val="24"/>
              </w:rPr>
              <w:t xml:space="preserve">UST requirements in </w:t>
            </w:r>
            <w:r w:rsidR="00FE73C4">
              <w:rPr>
                <w:rFonts w:ascii="Arial" w:hAnsi="Arial" w:cs="Arial"/>
                <w:sz w:val="24"/>
                <w:szCs w:val="24"/>
              </w:rPr>
              <w:t>HSC 25292(a)</w:t>
            </w:r>
            <w:r w:rsidR="00026013">
              <w:rPr>
                <w:rFonts w:ascii="Arial" w:hAnsi="Arial" w:cs="Arial"/>
                <w:sz w:val="24"/>
                <w:szCs w:val="24"/>
              </w:rPr>
              <w:t>.</w:t>
            </w:r>
            <w:r w:rsidR="006C4CCD">
              <w:rPr>
                <w:rFonts w:ascii="Arial" w:hAnsi="Arial" w:cs="Arial"/>
                <w:sz w:val="24"/>
                <w:szCs w:val="24"/>
              </w:rPr>
              <w:t xml:space="preserve"> </w:t>
            </w:r>
            <w:r w:rsidR="00617827">
              <w:rPr>
                <w:rFonts w:ascii="Arial" w:hAnsi="Arial" w:cs="Arial"/>
                <w:sz w:val="24"/>
                <w:szCs w:val="24"/>
              </w:rPr>
              <w:t xml:space="preserve">Approach </w:t>
            </w:r>
            <w:r w:rsidR="006B00C4">
              <w:rPr>
                <w:rFonts w:ascii="Arial" w:hAnsi="Arial" w:cs="Arial"/>
                <w:sz w:val="24"/>
                <w:szCs w:val="24"/>
              </w:rPr>
              <w:t xml:space="preserve">this </w:t>
            </w:r>
            <w:r w:rsidR="00617827">
              <w:rPr>
                <w:rFonts w:ascii="Arial" w:hAnsi="Arial" w:cs="Arial"/>
                <w:sz w:val="24"/>
                <w:szCs w:val="24"/>
              </w:rPr>
              <w:t>similarly with TIUGA categories</w:t>
            </w:r>
            <w:r w:rsidR="00B47098">
              <w:rPr>
                <w:rFonts w:ascii="Arial" w:hAnsi="Arial" w:cs="Arial"/>
                <w:sz w:val="24"/>
                <w:szCs w:val="24"/>
              </w:rPr>
              <w:t>, based on high risk.</w:t>
            </w:r>
          </w:p>
          <w:p w14:paraId="32DB625D" w14:textId="7015C4DF" w:rsidR="00026013" w:rsidRPr="00404795" w:rsidRDefault="00026013" w:rsidP="00277BB8">
            <w:pPr>
              <w:rPr>
                <w:rFonts w:ascii="Arial" w:hAnsi="Arial" w:cs="Arial"/>
                <w:sz w:val="24"/>
                <w:szCs w:val="24"/>
              </w:rPr>
            </w:pPr>
          </w:p>
        </w:tc>
      </w:tr>
    </w:tbl>
    <w:p w14:paraId="0B035BCE" w14:textId="77777777" w:rsidR="003735D6" w:rsidRDefault="003735D6">
      <w:pPr>
        <w:rPr>
          <w:rFonts w:ascii="Arial" w:hAnsi="Arial" w:cs="Arial"/>
          <w:sz w:val="24"/>
          <w:szCs w:val="24"/>
        </w:rPr>
      </w:pPr>
      <w:r>
        <w:rPr>
          <w:rFonts w:ascii="Arial" w:hAnsi="Arial" w:cs="Arial"/>
          <w:sz w:val="24"/>
          <w:szCs w:val="24"/>
        </w:rPr>
        <w:lastRenderedPageBreak/>
        <w:br w:type="page"/>
      </w:r>
    </w:p>
    <w:p w14:paraId="2E8DFA7D" w14:textId="14A7F8E0" w:rsidR="00EF3858" w:rsidRDefault="00EF3858">
      <w:pPr>
        <w:rPr>
          <w:rFonts w:ascii="Arial" w:hAnsi="Arial" w:cs="Arial"/>
          <w:sz w:val="24"/>
          <w:szCs w:val="24"/>
        </w:rPr>
      </w:pPr>
      <w:r>
        <w:rPr>
          <w:rFonts w:ascii="Arial" w:hAnsi="Arial" w:cs="Arial"/>
          <w:sz w:val="24"/>
          <w:szCs w:val="24"/>
        </w:rPr>
        <w:lastRenderedPageBreak/>
        <w:t>References:</w:t>
      </w:r>
    </w:p>
    <w:p w14:paraId="4149E2A6" w14:textId="2ADD5E40" w:rsidR="00AB74CD" w:rsidRDefault="00AB74CD">
      <w:pPr>
        <w:rPr>
          <w:rFonts w:ascii="Arial" w:hAnsi="Arial" w:cs="Arial"/>
          <w:sz w:val="24"/>
          <w:szCs w:val="24"/>
        </w:rPr>
      </w:pPr>
      <w:r>
        <w:rPr>
          <w:rFonts w:ascii="Arial" w:hAnsi="Arial" w:cs="Arial"/>
          <w:sz w:val="24"/>
          <w:szCs w:val="24"/>
        </w:rPr>
        <w:t>Health and Safety Code, Chapter 6.67</w:t>
      </w:r>
      <w:r w:rsidR="00783C89">
        <w:rPr>
          <w:rFonts w:ascii="Arial" w:hAnsi="Arial" w:cs="Arial"/>
          <w:sz w:val="24"/>
          <w:szCs w:val="24"/>
        </w:rPr>
        <w:t xml:space="preserve"> (APSA)</w:t>
      </w:r>
      <w:r>
        <w:rPr>
          <w:rFonts w:ascii="Arial" w:hAnsi="Arial" w:cs="Arial"/>
          <w:sz w:val="24"/>
          <w:szCs w:val="24"/>
        </w:rPr>
        <w:t xml:space="preserve">: </w:t>
      </w:r>
      <w:hyperlink r:id="rId9" w:history="1">
        <w:r>
          <w:rPr>
            <w:rStyle w:val="Hyperlink"/>
            <w:rFonts w:ascii="Arial" w:hAnsi="Arial" w:cs="Arial"/>
            <w:sz w:val="24"/>
            <w:szCs w:val="24"/>
          </w:rPr>
          <w:t>https://leginfo.legislature.ca.gov/faces/codes_displayText.xhtml?lawCode=HSC&amp;division=20.&amp;title=&amp;part=&amp;chapter=6.67.&amp;article</w:t>
        </w:r>
      </w:hyperlink>
    </w:p>
    <w:p w14:paraId="6EAFBC91" w14:textId="097DDD65" w:rsidR="00AB74CD" w:rsidRDefault="00783C89" w:rsidP="00956190">
      <w:pPr>
        <w:spacing w:after="0" w:line="240" w:lineRule="auto"/>
        <w:rPr>
          <w:rFonts w:ascii="Arial" w:hAnsi="Arial" w:cs="Arial"/>
          <w:sz w:val="24"/>
          <w:szCs w:val="24"/>
        </w:rPr>
      </w:pPr>
      <w:r>
        <w:rPr>
          <w:rFonts w:ascii="Arial" w:hAnsi="Arial" w:cs="Arial"/>
          <w:sz w:val="24"/>
          <w:szCs w:val="24"/>
        </w:rPr>
        <w:t>Health and Safety Code, Chapter 6.7 (UST):</w:t>
      </w:r>
    </w:p>
    <w:p w14:paraId="072F643A" w14:textId="300DDFD1" w:rsidR="006C2DBA" w:rsidRDefault="006C2DBA">
      <w:pPr>
        <w:rPr>
          <w:rFonts w:ascii="Arial" w:hAnsi="Arial" w:cs="Arial"/>
          <w:sz w:val="24"/>
          <w:szCs w:val="24"/>
        </w:rPr>
      </w:pPr>
      <w:hyperlink r:id="rId10" w:history="1">
        <w:r>
          <w:rPr>
            <w:rStyle w:val="Hyperlink"/>
            <w:rFonts w:ascii="Arial" w:hAnsi="Arial" w:cs="Arial"/>
            <w:sz w:val="24"/>
            <w:szCs w:val="24"/>
          </w:rPr>
          <w:t>https://leginfo.legislature.ca.gov/faces/codes_displayText.xhtml?lawCode=HSC&amp;division=20.&amp;title=&amp;part=&amp;chapter=6.7.&amp;article=</w:t>
        </w:r>
      </w:hyperlink>
    </w:p>
    <w:p w14:paraId="397AB554" w14:textId="16739EE5" w:rsidR="00D653F8" w:rsidRDefault="00D653F8" w:rsidP="00956190">
      <w:pPr>
        <w:spacing w:after="0" w:line="240" w:lineRule="auto"/>
        <w:rPr>
          <w:rFonts w:ascii="Arial" w:hAnsi="Arial" w:cs="Arial"/>
          <w:sz w:val="24"/>
          <w:szCs w:val="24"/>
        </w:rPr>
      </w:pPr>
      <w:r>
        <w:rPr>
          <w:rFonts w:ascii="Arial" w:hAnsi="Arial" w:cs="Arial"/>
          <w:sz w:val="24"/>
          <w:szCs w:val="24"/>
        </w:rPr>
        <w:t>Water Code</w:t>
      </w:r>
      <w:r w:rsidR="00C42F7B">
        <w:rPr>
          <w:rFonts w:ascii="Arial" w:hAnsi="Arial" w:cs="Arial"/>
          <w:sz w:val="24"/>
          <w:szCs w:val="24"/>
        </w:rPr>
        <w:t xml:space="preserve">, Section </w:t>
      </w:r>
      <w:r w:rsidR="00DD768A">
        <w:rPr>
          <w:rFonts w:ascii="Arial" w:hAnsi="Arial" w:cs="Arial"/>
          <w:sz w:val="24"/>
          <w:szCs w:val="24"/>
        </w:rPr>
        <w:t>13272:</w:t>
      </w:r>
    </w:p>
    <w:p w14:paraId="1595416D" w14:textId="5629B747" w:rsidR="00DD768A" w:rsidRDefault="00DD768A">
      <w:pPr>
        <w:rPr>
          <w:rFonts w:ascii="Arial" w:hAnsi="Arial" w:cs="Arial"/>
          <w:sz w:val="24"/>
          <w:szCs w:val="24"/>
        </w:rPr>
      </w:pPr>
      <w:hyperlink r:id="rId11" w:history="1">
        <w:r w:rsidRPr="004C7B94">
          <w:rPr>
            <w:rStyle w:val="Hyperlink"/>
            <w:rFonts w:ascii="Arial" w:hAnsi="Arial" w:cs="Arial"/>
            <w:sz w:val="24"/>
            <w:szCs w:val="24"/>
          </w:rPr>
          <w:t>https://leginfo.legislature.ca.gov/faces/codes_displaySection.xhtml?sectionNum=13272.&amp;lawCode=WAT</w:t>
        </w:r>
      </w:hyperlink>
      <w:r>
        <w:rPr>
          <w:rFonts w:ascii="Arial" w:hAnsi="Arial" w:cs="Arial"/>
          <w:sz w:val="24"/>
          <w:szCs w:val="24"/>
        </w:rPr>
        <w:t xml:space="preserve"> </w:t>
      </w:r>
    </w:p>
    <w:p w14:paraId="5796E48C" w14:textId="0D2D0BAB" w:rsidR="00DD768A" w:rsidRDefault="00DD768A">
      <w:pPr>
        <w:rPr>
          <w:rFonts w:ascii="Arial" w:hAnsi="Arial" w:cs="Arial"/>
          <w:sz w:val="24"/>
          <w:szCs w:val="24"/>
        </w:rPr>
      </w:pPr>
      <w:r>
        <w:rPr>
          <w:rFonts w:ascii="Arial" w:hAnsi="Arial" w:cs="Arial"/>
          <w:sz w:val="24"/>
          <w:szCs w:val="24"/>
        </w:rPr>
        <w:t>CCR, Title 19, Division 1, Chapter 11</w:t>
      </w:r>
      <w:r w:rsidR="00047C7E">
        <w:rPr>
          <w:rFonts w:ascii="Arial" w:hAnsi="Arial" w:cs="Arial"/>
          <w:sz w:val="24"/>
          <w:szCs w:val="24"/>
        </w:rPr>
        <w:t xml:space="preserve"> (APSA regulations)</w:t>
      </w:r>
      <w:r>
        <w:rPr>
          <w:rFonts w:ascii="Arial" w:hAnsi="Arial" w:cs="Arial"/>
          <w:sz w:val="24"/>
          <w:szCs w:val="24"/>
        </w:rPr>
        <w:t>:</w:t>
      </w:r>
      <w:r w:rsidR="006F0DB4">
        <w:rPr>
          <w:rFonts w:ascii="Arial" w:hAnsi="Arial" w:cs="Arial"/>
          <w:sz w:val="24"/>
          <w:szCs w:val="24"/>
        </w:rPr>
        <w:t xml:space="preserve"> </w:t>
      </w:r>
      <w:hyperlink r:id="rId12" w:history="1">
        <w:r w:rsidR="006F0DB4">
          <w:rPr>
            <w:rStyle w:val="Hyperlink"/>
            <w:rFonts w:ascii="Arial" w:hAnsi="Arial" w:cs="Arial"/>
            <w:sz w:val="24"/>
            <w:szCs w:val="24"/>
          </w:rPr>
          <w:t>https://govt.westlaw.com/calregs/Browse/Home/California/CaliforniaCodeofRegulations?guid=I09015640C1A211EFB34ED852991BCC29&amp;originationContext=documenttoc&amp;transitionType=Default&amp;contextData=(sc.Default)</w:t>
        </w:r>
      </w:hyperlink>
    </w:p>
    <w:p w14:paraId="0260984B" w14:textId="0BE82958" w:rsidR="00047C7E" w:rsidRDefault="006F0DB4">
      <w:pPr>
        <w:rPr>
          <w:rFonts w:ascii="Arial" w:hAnsi="Arial" w:cs="Arial"/>
          <w:sz w:val="24"/>
          <w:szCs w:val="24"/>
        </w:rPr>
      </w:pPr>
      <w:r>
        <w:rPr>
          <w:rFonts w:ascii="Arial" w:hAnsi="Arial" w:cs="Arial"/>
          <w:sz w:val="24"/>
          <w:szCs w:val="24"/>
        </w:rPr>
        <w:t>CCR, Title 23</w:t>
      </w:r>
      <w:r w:rsidR="00ED46E7">
        <w:rPr>
          <w:rFonts w:ascii="Arial" w:hAnsi="Arial" w:cs="Arial"/>
          <w:sz w:val="24"/>
          <w:szCs w:val="24"/>
        </w:rPr>
        <w:t>, Division 3, Chapter 16 (UST regulations):</w:t>
      </w:r>
    </w:p>
    <w:p w14:paraId="268FEA31" w14:textId="110A3B39" w:rsidR="00ED46E7" w:rsidRDefault="00ED46E7">
      <w:pPr>
        <w:rPr>
          <w:rFonts w:ascii="Arial" w:hAnsi="Arial" w:cs="Arial"/>
          <w:sz w:val="24"/>
          <w:szCs w:val="24"/>
        </w:rPr>
      </w:pPr>
      <w:hyperlink r:id="rId13" w:history="1">
        <w:r>
          <w:rPr>
            <w:rStyle w:val="Hyperlink"/>
            <w:rFonts w:ascii="Arial" w:hAnsi="Arial" w:cs="Arial"/>
            <w:sz w:val="24"/>
            <w:szCs w:val="24"/>
          </w:rPr>
          <w:t>https://govt.westlaw.com/calregs/Browse/Home/California/CaliforniaCodeofRegulations?guid=ICAC98F605B6E11EC9451000D3A7C4BC3&amp;originationContext=documenttoc&amp;transitionType=Default&amp;contextData=(sc.Default)</w:t>
        </w:r>
      </w:hyperlink>
    </w:p>
    <w:p w14:paraId="46E3F882" w14:textId="23889BAF" w:rsidR="00EF3858" w:rsidRDefault="00EF3858" w:rsidP="00C13D9D">
      <w:pPr>
        <w:spacing w:after="0" w:line="240" w:lineRule="auto"/>
        <w:rPr>
          <w:rFonts w:ascii="Arial" w:hAnsi="Arial" w:cs="Arial"/>
          <w:sz w:val="24"/>
          <w:szCs w:val="24"/>
        </w:rPr>
      </w:pPr>
      <w:r>
        <w:rPr>
          <w:rFonts w:ascii="Arial" w:hAnsi="Arial" w:cs="Arial"/>
          <w:sz w:val="24"/>
          <w:szCs w:val="24"/>
        </w:rPr>
        <w:t>C</w:t>
      </w:r>
      <w:r w:rsidR="00C13D9D">
        <w:rPr>
          <w:rFonts w:ascii="Arial" w:hAnsi="Arial" w:cs="Arial"/>
          <w:sz w:val="24"/>
          <w:szCs w:val="24"/>
        </w:rPr>
        <w:t>FR</w:t>
      </w:r>
      <w:r>
        <w:rPr>
          <w:rFonts w:ascii="Arial" w:hAnsi="Arial" w:cs="Arial"/>
          <w:sz w:val="24"/>
          <w:szCs w:val="24"/>
        </w:rPr>
        <w:t>, Title 40, Part 112</w:t>
      </w:r>
      <w:r w:rsidR="00461798">
        <w:rPr>
          <w:rFonts w:ascii="Arial" w:hAnsi="Arial" w:cs="Arial"/>
          <w:sz w:val="24"/>
          <w:szCs w:val="24"/>
        </w:rPr>
        <w:t xml:space="preserve"> (SPCC rule)</w:t>
      </w:r>
      <w:r>
        <w:rPr>
          <w:rFonts w:ascii="Arial" w:hAnsi="Arial" w:cs="Arial"/>
          <w:sz w:val="24"/>
          <w:szCs w:val="24"/>
        </w:rPr>
        <w:t>:</w:t>
      </w:r>
    </w:p>
    <w:p w14:paraId="2E906B60" w14:textId="69FB0D74" w:rsidR="00461798" w:rsidRPr="00E55F49" w:rsidRDefault="00461798">
      <w:pPr>
        <w:rPr>
          <w:rFonts w:ascii="Arial" w:hAnsi="Arial" w:cs="Arial"/>
          <w:sz w:val="24"/>
          <w:szCs w:val="24"/>
        </w:rPr>
      </w:pPr>
      <w:hyperlink r:id="rId14" w:history="1">
        <w:r>
          <w:rPr>
            <w:rStyle w:val="Hyperlink"/>
            <w:rFonts w:ascii="Arial" w:hAnsi="Arial" w:cs="Arial"/>
            <w:sz w:val="24"/>
            <w:szCs w:val="24"/>
          </w:rPr>
          <w:t>https://www.ecfr.gov/current/title-40/chapter-I/subchapter-D/part-112?toc=1</w:t>
        </w:r>
      </w:hyperlink>
    </w:p>
    <w:sectPr w:rsidR="00461798" w:rsidRPr="00E55F49" w:rsidSect="00BA3921">
      <w:headerReference w:type="default" r:id="rId15"/>
      <w:footerReference w:type="default" r:id="rId16"/>
      <w:pgSz w:w="15840" w:h="12240" w:orient="landscape"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FD21" w14:textId="77777777" w:rsidR="00C935F0" w:rsidRDefault="00C935F0" w:rsidP="004B1852">
      <w:pPr>
        <w:spacing w:after="0" w:line="240" w:lineRule="auto"/>
      </w:pPr>
      <w:r>
        <w:separator/>
      </w:r>
    </w:p>
  </w:endnote>
  <w:endnote w:type="continuationSeparator" w:id="0">
    <w:p w14:paraId="4CC15C1C" w14:textId="77777777" w:rsidR="00C935F0" w:rsidRDefault="00C935F0" w:rsidP="004B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967646956"/>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5FA87F1F" w14:textId="4B20D372" w:rsidR="003B6BF4" w:rsidRPr="00E55F49" w:rsidRDefault="003B6BF4">
            <w:pPr>
              <w:pStyle w:val="Footer"/>
              <w:jc w:val="right"/>
              <w:rPr>
                <w:rFonts w:ascii="Arial" w:hAnsi="Arial" w:cs="Arial"/>
                <w:sz w:val="24"/>
                <w:szCs w:val="24"/>
              </w:rPr>
            </w:pPr>
            <w:r w:rsidRPr="00E55F49">
              <w:rPr>
                <w:rFonts w:ascii="Arial" w:hAnsi="Arial" w:cs="Arial"/>
                <w:sz w:val="24"/>
                <w:szCs w:val="24"/>
              </w:rPr>
              <w:t xml:space="preserve">Page </w:t>
            </w:r>
            <w:r w:rsidRPr="00E55F49">
              <w:rPr>
                <w:rFonts w:ascii="Arial" w:hAnsi="Arial" w:cs="Arial"/>
                <w:sz w:val="24"/>
                <w:szCs w:val="24"/>
              </w:rPr>
              <w:fldChar w:fldCharType="begin"/>
            </w:r>
            <w:r w:rsidRPr="00E55F49">
              <w:rPr>
                <w:rFonts w:ascii="Arial" w:hAnsi="Arial" w:cs="Arial"/>
                <w:sz w:val="24"/>
                <w:szCs w:val="24"/>
              </w:rPr>
              <w:instrText xml:space="preserve"> PAGE </w:instrText>
            </w:r>
            <w:r w:rsidRPr="00E55F49">
              <w:rPr>
                <w:rFonts w:ascii="Arial" w:hAnsi="Arial" w:cs="Arial"/>
                <w:sz w:val="24"/>
                <w:szCs w:val="24"/>
              </w:rPr>
              <w:fldChar w:fldCharType="separate"/>
            </w:r>
            <w:r w:rsidRPr="00E55F49">
              <w:rPr>
                <w:rFonts w:ascii="Arial" w:hAnsi="Arial" w:cs="Arial"/>
                <w:noProof/>
                <w:sz w:val="24"/>
                <w:szCs w:val="24"/>
              </w:rPr>
              <w:t>2</w:t>
            </w:r>
            <w:r w:rsidRPr="00E55F49">
              <w:rPr>
                <w:rFonts w:ascii="Arial" w:hAnsi="Arial" w:cs="Arial"/>
                <w:sz w:val="24"/>
                <w:szCs w:val="24"/>
              </w:rPr>
              <w:fldChar w:fldCharType="end"/>
            </w:r>
            <w:r w:rsidRPr="00E55F49">
              <w:rPr>
                <w:rFonts w:ascii="Arial" w:hAnsi="Arial" w:cs="Arial"/>
                <w:sz w:val="24"/>
                <w:szCs w:val="24"/>
              </w:rPr>
              <w:t xml:space="preserve"> of </w:t>
            </w:r>
            <w:r w:rsidRPr="00E55F49">
              <w:rPr>
                <w:rFonts w:ascii="Arial" w:hAnsi="Arial" w:cs="Arial"/>
                <w:sz w:val="24"/>
                <w:szCs w:val="24"/>
              </w:rPr>
              <w:fldChar w:fldCharType="begin"/>
            </w:r>
            <w:r w:rsidRPr="00E55F49">
              <w:rPr>
                <w:rFonts w:ascii="Arial" w:hAnsi="Arial" w:cs="Arial"/>
                <w:sz w:val="24"/>
                <w:szCs w:val="24"/>
              </w:rPr>
              <w:instrText xml:space="preserve"> NUMPAGES  </w:instrText>
            </w:r>
            <w:r w:rsidRPr="00E55F49">
              <w:rPr>
                <w:rFonts w:ascii="Arial" w:hAnsi="Arial" w:cs="Arial"/>
                <w:sz w:val="24"/>
                <w:szCs w:val="24"/>
              </w:rPr>
              <w:fldChar w:fldCharType="separate"/>
            </w:r>
            <w:r w:rsidRPr="00E55F49">
              <w:rPr>
                <w:rFonts w:ascii="Arial" w:hAnsi="Arial" w:cs="Arial"/>
                <w:noProof/>
                <w:sz w:val="24"/>
                <w:szCs w:val="24"/>
              </w:rPr>
              <w:t>2</w:t>
            </w:r>
            <w:r w:rsidRPr="00E55F49">
              <w:rPr>
                <w:rFonts w:ascii="Arial" w:hAnsi="Arial" w:cs="Arial"/>
                <w:sz w:val="24"/>
                <w:szCs w:val="24"/>
              </w:rPr>
              <w:fldChar w:fldCharType="end"/>
            </w:r>
          </w:p>
        </w:sdtContent>
      </w:sdt>
    </w:sdtContent>
  </w:sdt>
  <w:p w14:paraId="550D3CAD" w14:textId="77777777" w:rsidR="003B6BF4" w:rsidRDefault="003B6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51A5" w14:textId="77777777" w:rsidR="00C935F0" w:rsidRDefault="00C935F0" w:rsidP="004B1852">
      <w:pPr>
        <w:spacing w:after="0" w:line="240" w:lineRule="auto"/>
      </w:pPr>
      <w:r>
        <w:separator/>
      </w:r>
    </w:p>
  </w:footnote>
  <w:footnote w:type="continuationSeparator" w:id="0">
    <w:p w14:paraId="5BE28D3A" w14:textId="77777777" w:rsidR="00C935F0" w:rsidRDefault="00C935F0" w:rsidP="004B1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CF94" w14:textId="4FA0782B" w:rsidR="004B1852" w:rsidRPr="00E55F49" w:rsidRDefault="004B1852">
    <w:pPr>
      <w:pStyle w:val="Header"/>
      <w:rPr>
        <w:rFonts w:ascii="Arial" w:hAnsi="Arial" w:cs="Arial"/>
        <w:b/>
        <w:bCs/>
        <w:sz w:val="24"/>
        <w:szCs w:val="24"/>
      </w:rPr>
    </w:pPr>
    <w:r w:rsidRPr="00E55F49">
      <w:rPr>
        <w:rFonts w:ascii="Arial" w:hAnsi="Arial" w:cs="Arial"/>
        <w:b/>
        <w:bCs/>
        <w:sz w:val="24"/>
        <w:szCs w:val="24"/>
      </w:rPr>
      <w:t>Suggest</w:t>
    </w:r>
    <w:r w:rsidR="000A5FA5">
      <w:rPr>
        <w:rFonts w:ascii="Arial" w:hAnsi="Arial" w:cs="Arial"/>
        <w:b/>
        <w:bCs/>
        <w:sz w:val="24"/>
        <w:szCs w:val="24"/>
      </w:rPr>
      <w:t>ed Amendments</w:t>
    </w:r>
    <w:r w:rsidRPr="00E55F49">
      <w:rPr>
        <w:rFonts w:ascii="Arial" w:hAnsi="Arial" w:cs="Arial"/>
        <w:b/>
        <w:bCs/>
        <w:sz w:val="24"/>
        <w:szCs w:val="24"/>
      </w:rPr>
      <w:t xml:space="preserve"> to H</w:t>
    </w:r>
    <w:r w:rsidR="007250D1" w:rsidRPr="00E55F49">
      <w:rPr>
        <w:rFonts w:ascii="Arial" w:hAnsi="Arial" w:cs="Arial"/>
        <w:b/>
        <w:bCs/>
        <w:sz w:val="24"/>
        <w:szCs w:val="24"/>
      </w:rPr>
      <w:t xml:space="preserve">ealth and </w:t>
    </w:r>
    <w:r w:rsidRPr="00E55F49">
      <w:rPr>
        <w:rFonts w:ascii="Arial" w:hAnsi="Arial" w:cs="Arial"/>
        <w:b/>
        <w:bCs/>
        <w:sz w:val="24"/>
        <w:szCs w:val="24"/>
      </w:rPr>
      <w:t>S</w:t>
    </w:r>
    <w:r w:rsidR="007250D1" w:rsidRPr="00E55F49">
      <w:rPr>
        <w:rFonts w:ascii="Arial" w:hAnsi="Arial" w:cs="Arial"/>
        <w:b/>
        <w:bCs/>
        <w:sz w:val="24"/>
        <w:szCs w:val="24"/>
      </w:rPr>
      <w:t xml:space="preserve">afety </w:t>
    </w:r>
    <w:r w:rsidRPr="00E55F49">
      <w:rPr>
        <w:rFonts w:ascii="Arial" w:hAnsi="Arial" w:cs="Arial"/>
        <w:b/>
        <w:bCs/>
        <w:sz w:val="24"/>
        <w:szCs w:val="24"/>
      </w:rPr>
      <w:t>C</w:t>
    </w:r>
    <w:r w:rsidR="007250D1" w:rsidRPr="00E55F49">
      <w:rPr>
        <w:rFonts w:ascii="Arial" w:hAnsi="Arial" w:cs="Arial"/>
        <w:b/>
        <w:bCs/>
        <w:sz w:val="24"/>
        <w:szCs w:val="24"/>
      </w:rPr>
      <w:t>ode</w:t>
    </w:r>
    <w:r w:rsidR="00E21B60">
      <w:rPr>
        <w:rFonts w:ascii="Arial" w:hAnsi="Arial" w:cs="Arial"/>
        <w:b/>
        <w:bCs/>
        <w:sz w:val="24"/>
        <w:szCs w:val="24"/>
      </w:rPr>
      <w:t xml:space="preserve"> (HSC)</w:t>
    </w:r>
    <w:r w:rsidR="007250D1" w:rsidRPr="00E55F49">
      <w:rPr>
        <w:rFonts w:ascii="Arial" w:hAnsi="Arial" w:cs="Arial"/>
        <w:b/>
        <w:bCs/>
        <w:sz w:val="24"/>
        <w:szCs w:val="24"/>
      </w:rPr>
      <w:t>,</w:t>
    </w:r>
    <w:r w:rsidRPr="00E55F49">
      <w:rPr>
        <w:rFonts w:ascii="Arial" w:hAnsi="Arial" w:cs="Arial"/>
        <w:b/>
        <w:bCs/>
        <w:sz w:val="24"/>
        <w:szCs w:val="24"/>
      </w:rPr>
      <w:t xml:space="preserve"> Chapter 6.67</w:t>
    </w:r>
  </w:p>
  <w:p w14:paraId="6DC73A95" w14:textId="3C752A17" w:rsidR="004B1852" w:rsidRDefault="00190CC8">
    <w:pPr>
      <w:pStyle w:val="Header"/>
      <w:rPr>
        <w:rFonts w:ascii="Arial" w:hAnsi="Arial" w:cs="Arial"/>
        <w:sz w:val="24"/>
        <w:szCs w:val="24"/>
      </w:rPr>
    </w:pPr>
    <w:r>
      <w:rPr>
        <w:rFonts w:ascii="Arial" w:hAnsi="Arial" w:cs="Arial"/>
        <w:sz w:val="24"/>
        <w:szCs w:val="24"/>
      </w:rPr>
      <w:t xml:space="preserve">October </w:t>
    </w:r>
    <w:r w:rsidR="00882B71">
      <w:rPr>
        <w:rFonts w:ascii="Arial" w:hAnsi="Arial" w:cs="Arial"/>
        <w:sz w:val="24"/>
        <w:szCs w:val="24"/>
      </w:rPr>
      <w:t>1, 2025</w:t>
    </w:r>
  </w:p>
  <w:p w14:paraId="73B2607C" w14:textId="77777777" w:rsidR="00190CC8" w:rsidRPr="00E55F49" w:rsidRDefault="00190CC8">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79F"/>
    <w:multiLevelType w:val="hybridMultilevel"/>
    <w:tmpl w:val="D6E6B1E0"/>
    <w:lvl w:ilvl="0" w:tplc="A38CA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ADF8"/>
    <w:multiLevelType w:val="hybridMultilevel"/>
    <w:tmpl w:val="47ACF9D2"/>
    <w:lvl w:ilvl="0" w:tplc="72B4BF2C">
      <w:start w:val="1"/>
      <w:numFmt w:val="lowerLetter"/>
      <w:lvlText w:val="%1."/>
      <w:lvlJc w:val="left"/>
      <w:pPr>
        <w:ind w:left="1080" w:hanging="360"/>
      </w:pPr>
    </w:lvl>
    <w:lvl w:ilvl="1" w:tplc="AF8AB40C">
      <w:start w:val="1"/>
      <w:numFmt w:val="lowerLetter"/>
      <w:lvlText w:val="%2."/>
      <w:lvlJc w:val="left"/>
      <w:pPr>
        <w:ind w:left="1800" w:hanging="360"/>
      </w:pPr>
    </w:lvl>
    <w:lvl w:ilvl="2" w:tplc="D298A9BA">
      <w:start w:val="1"/>
      <w:numFmt w:val="lowerRoman"/>
      <w:lvlText w:val="%3."/>
      <w:lvlJc w:val="right"/>
      <w:pPr>
        <w:ind w:left="2520" w:hanging="180"/>
      </w:pPr>
    </w:lvl>
    <w:lvl w:ilvl="3" w:tplc="B5F65270">
      <w:start w:val="1"/>
      <w:numFmt w:val="decimal"/>
      <w:lvlText w:val="%4."/>
      <w:lvlJc w:val="left"/>
      <w:pPr>
        <w:ind w:left="3240" w:hanging="360"/>
      </w:pPr>
    </w:lvl>
    <w:lvl w:ilvl="4" w:tplc="082035A4">
      <w:start w:val="1"/>
      <w:numFmt w:val="lowerLetter"/>
      <w:lvlText w:val="%5."/>
      <w:lvlJc w:val="left"/>
      <w:pPr>
        <w:ind w:left="3960" w:hanging="360"/>
      </w:pPr>
    </w:lvl>
    <w:lvl w:ilvl="5" w:tplc="3B7A1536">
      <w:start w:val="1"/>
      <w:numFmt w:val="lowerRoman"/>
      <w:lvlText w:val="%6."/>
      <w:lvlJc w:val="right"/>
      <w:pPr>
        <w:ind w:left="4680" w:hanging="180"/>
      </w:pPr>
    </w:lvl>
    <w:lvl w:ilvl="6" w:tplc="03E4BC62">
      <w:start w:val="1"/>
      <w:numFmt w:val="decimal"/>
      <w:lvlText w:val="%7."/>
      <w:lvlJc w:val="left"/>
      <w:pPr>
        <w:ind w:left="5400" w:hanging="360"/>
      </w:pPr>
    </w:lvl>
    <w:lvl w:ilvl="7" w:tplc="A4D283C4">
      <w:start w:val="1"/>
      <w:numFmt w:val="lowerLetter"/>
      <w:lvlText w:val="%8."/>
      <w:lvlJc w:val="left"/>
      <w:pPr>
        <w:ind w:left="6120" w:hanging="360"/>
      </w:pPr>
    </w:lvl>
    <w:lvl w:ilvl="8" w:tplc="914440E6">
      <w:start w:val="1"/>
      <w:numFmt w:val="lowerRoman"/>
      <w:lvlText w:val="%9."/>
      <w:lvlJc w:val="right"/>
      <w:pPr>
        <w:ind w:left="6840" w:hanging="180"/>
      </w:pPr>
    </w:lvl>
  </w:abstractNum>
  <w:abstractNum w:abstractNumId="2" w15:restartNumberingAfterBreak="0">
    <w:nsid w:val="26B64B8E"/>
    <w:multiLevelType w:val="hybridMultilevel"/>
    <w:tmpl w:val="5F22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F8B89"/>
    <w:multiLevelType w:val="hybridMultilevel"/>
    <w:tmpl w:val="FFFFFFFF"/>
    <w:lvl w:ilvl="0" w:tplc="9258C2E2">
      <w:start w:val="1"/>
      <w:numFmt w:val="bullet"/>
      <w:lvlText w:val=""/>
      <w:lvlJc w:val="left"/>
      <w:pPr>
        <w:ind w:left="720" w:hanging="360"/>
      </w:pPr>
      <w:rPr>
        <w:rFonts w:ascii="Symbol" w:hAnsi="Symbol" w:hint="default"/>
      </w:rPr>
    </w:lvl>
    <w:lvl w:ilvl="1" w:tplc="DE6212A0">
      <w:start w:val="1"/>
      <w:numFmt w:val="bullet"/>
      <w:lvlText w:val="o"/>
      <w:lvlJc w:val="left"/>
      <w:pPr>
        <w:ind w:left="1440" w:hanging="360"/>
      </w:pPr>
      <w:rPr>
        <w:rFonts w:ascii="Courier New" w:hAnsi="Courier New" w:hint="default"/>
      </w:rPr>
    </w:lvl>
    <w:lvl w:ilvl="2" w:tplc="F892A3DC">
      <w:start w:val="1"/>
      <w:numFmt w:val="bullet"/>
      <w:lvlText w:val=""/>
      <w:lvlJc w:val="left"/>
      <w:pPr>
        <w:ind w:left="2160" w:hanging="360"/>
      </w:pPr>
      <w:rPr>
        <w:rFonts w:ascii="Wingdings" w:hAnsi="Wingdings" w:hint="default"/>
      </w:rPr>
    </w:lvl>
    <w:lvl w:ilvl="3" w:tplc="C854DEC6">
      <w:start w:val="1"/>
      <w:numFmt w:val="bullet"/>
      <w:lvlText w:val=""/>
      <w:lvlJc w:val="left"/>
      <w:pPr>
        <w:ind w:left="2880" w:hanging="360"/>
      </w:pPr>
      <w:rPr>
        <w:rFonts w:ascii="Symbol" w:hAnsi="Symbol" w:hint="default"/>
      </w:rPr>
    </w:lvl>
    <w:lvl w:ilvl="4" w:tplc="02A6DC4E">
      <w:start w:val="1"/>
      <w:numFmt w:val="bullet"/>
      <w:lvlText w:val="o"/>
      <w:lvlJc w:val="left"/>
      <w:pPr>
        <w:ind w:left="3600" w:hanging="360"/>
      </w:pPr>
      <w:rPr>
        <w:rFonts w:ascii="Courier New" w:hAnsi="Courier New" w:hint="default"/>
      </w:rPr>
    </w:lvl>
    <w:lvl w:ilvl="5" w:tplc="26BEB89C">
      <w:start w:val="1"/>
      <w:numFmt w:val="bullet"/>
      <w:lvlText w:val=""/>
      <w:lvlJc w:val="left"/>
      <w:pPr>
        <w:ind w:left="4320" w:hanging="360"/>
      </w:pPr>
      <w:rPr>
        <w:rFonts w:ascii="Wingdings" w:hAnsi="Wingdings" w:hint="default"/>
      </w:rPr>
    </w:lvl>
    <w:lvl w:ilvl="6" w:tplc="E040A6B2">
      <w:start w:val="1"/>
      <w:numFmt w:val="bullet"/>
      <w:lvlText w:val=""/>
      <w:lvlJc w:val="left"/>
      <w:pPr>
        <w:ind w:left="5040" w:hanging="360"/>
      </w:pPr>
      <w:rPr>
        <w:rFonts w:ascii="Symbol" w:hAnsi="Symbol" w:hint="default"/>
      </w:rPr>
    </w:lvl>
    <w:lvl w:ilvl="7" w:tplc="64A233B0">
      <w:start w:val="1"/>
      <w:numFmt w:val="bullet"/>
      <w:lvlText w:val="o"/>
      <w:lvlJc w:val="left"/>
      <w:pPr>
        <w:ind w:left="5760" w:hanging="360"/>
      </w:pPr>
      <w:rPr>
        <w:rFonts w:ascii="Courier New" w:hAnsi="Courier New" w:hint="default"/>
      </w:rPr>
    </w:lvl>
    <w:lvl w:ilvl="8" w:tplc="6A6E76A8">
      <w:start w:val="1"/>
      <w:numFmt w:val="bullet"/>
      <w:lvlText w:val=""/>
      <w:lvlJc w:val="left"/>
      <w:pPr>
        <w:ind w:left="6480" w:hanging="360"/>
      </w:pPr>
      <w:rPr>
        <w:rFonts w:ascii="Wingdings" w:hAnsi="Wingdings" w:hint="default"/>
      </w:rPr>
    </w:lvl>
  </w:abstractNum>
  <w:abstractNum w:abstractNumId="4" w15:restartNumberingAfterBreak="0">
    <w:nsid w:val="4D6052A7"/>
    <w:multiLevelType w:val="hybridMultilevel"/>
    <w:tmpl w:val="C73E2C1A"/>
    <w:lvl w:ilvl="0" w:tplc="41C23026">
      <w:start w:val="1"/>
      <w:numFmt w:val="decimal"/>
      <w:lvlText w:val="%1."/>
      <w:lvlJc w:val="left"/>
      <w:pPr>
        <w:ind w:left="720" w:hanging="360"/>
      </w:pPr>
    </w:lvl>
    <w:lvl w:ilvl="1" w:tplc="AECA1D80">
      <w:start w:val="1"/>
      <w:numFmt w:val="lowerLetter"/>
      <w:lvlText w:val="%2."/>
      <w:lvlJc w:val="left"/>
      <w:pPr>
        <w:ind w:left="1440" w:hanging="360"/>
      </w:pPr>
    </w:lvl>
    <w:lvl w:ilvl="2" w:tplc="31CE0F60">
      <w:start w:val="1"/>
      <w:numFmt w:val="lowerRoman"/>
      <w:lvlText w:val="%3."/>
      <w:lvlJc w:val="right"/>
      <w:pPr>
        <w:ind w:left="2160" w:hanging="180"/>
      </w:pPr>
    </w:lvl>
    <w:lvl w:ilvl="3" w:tplc="512431DA">
      <w:start w:val="1"/>
      <w:numFmt w:val="decimal"/>
      <w:lvlText w:val="%4."/>
      <w:lvlJc w:val="left"/>
      <w:pPr>
        <w:ind w:left="2880" w:hanging="360"/>
      </w:pPr>
    </w:lvl>
    <w:lvl w:ilvl="4" w:tplc="CFF694D4">
      <w:start w:val="1"/>
      <w:numFmt w:val="lowerLetter"/>
      <w:lvlText w:val="%5."/>
      <w:lvlJc w:val="left"/>
      <w:pPr>
        <w:ind w:left="3600" w:hanging="360"/>
      </w:pPr>
    </w:lvl>
    <w:lvl w:ilvl="5" w:tplc="21CAC7E4">
      <w:start w:val="1"/>
      <w:numFmt w:val="lowerRoman"/>
      <w:lvlText w:val="%6."/>
      <w:lvlJc w:val="right"/>
      <w:pPr>
        <w:ind w:left="4320" w:hanging="180"/>
      </w:pPr>
    </w:lvl>
    <w:lvl w:ilvl="6" w:tplc="F914F5FE">
      <w:start w:val="1"/>
      <w:numFmt w:val="decimal"/>
      <w:lvlText w:val="%7."/>
      <w:lvlJc w:val="left"/>
      <w:pPr>
        <w:ind w:left="5040" w:hanging="360"/>
      </w:pPr>
    </w:lvl>
    <w:lvl w:ilvl="7" w:tplc="DD90848A">
      <w:start w:val="1"/>
      <w:numFmt w:val="lowerLetter"/>
      <w:lvlText w:val="%8."/>
      <w:lvlJc w:val="left"/>
      <w:pPr>
        <w:ind w:left="5760" w:hanging="360"/>
      </w:pPr>
    </w:lvl>
    <w:lvl w:ilvl="8" w:tplc="013A7FEA">
      <w:start w:val="1"/>
      <w:numFmt w:val="lowerRoman"/>
      <w:lvlText w:val="%9."/>
      <w:lvlJc w:val="right"/>
      <w:pPr>
        <w:ind w:left="6480" w:hanging="180"/>
      </w:pPr>
    </w:lvl>
  </w:abstractNum>
  <w:abstractNum w:abstractNumId="5" w15:restartNumberingAfterBreak="0">
    <w:nsid w:val="784C5D4C"/>
    <w:multiLevelType w:val="hybridMultilevel"/>
    <w:tmpl w:val="C46CE9C4"/>
    <w:lvl w:ilvl="0" w:tplc="FF5E4E86">
      <w:start w:val="1"/>
      <w:numFmt w:val="lowerLetter"/>
      <w:lvlText w:val="(%1)"/>
      <w:lvlJc w:val="left"/>
      <w:pPr>
        <w:ind w:left="720" w:hanging="360"/>
      </w:pPr>
      <w:rPr>
        <w:rFonts w:hint="default"/>
        <w:color w:val="ED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696971">
    <w:abstractNumId w:val="1"/>
  </w:num>
  <w:num w:numId="2" w16cid:durableId="742416052">
    <w:abstractNumId w:val="4"/>
  </w:num>
  <w:num w:numId="3" w16cid:durableId="647905295">
    <w:abstractNumId w:val="3"/>
  </w:num>
  <w:num w:numId="4" w16cid:durableId="1272778983">
    <w:abstractNumId w:val="2"/>
  </w:num>
  <w:num w:numId="5" w16cid:durableId="1460032320">
    <w:abstractNumId w:val="5"/>
  </w:num>
  <w:num w:numId="6" w16cid:durableId="207804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A8"/>
    <w:rsid w:val="00001127"/>
    <w:rsid w:val="00004A4A"/>
    <w:rsid w:val="000148C8"/>
    <w:rsid w:val="00026013"/>
    <w:rsid w:val="0002764F"/>
    <w:rsid w:val="00030E27"/>
    <w:rsid w:val="0003721B"/>
    <w:rsid w:val="0003795A"/>
    <w:rsid w:val="00041507"/>
    <w:rsid w:val="00046689"/>
    <w:rsid w:val="00047C7E"/>
    <w:rsid w:val="00053707"/>
    <w:rsid w:val="00053C59"/>
    <w:rsid w:val="00055DB4"/>
    <w:rsid w:val="00057D45"/>
    <w:rsid w:val="000655A5"/>
    <w:rsid w:val="00067293"/>
    <w:rsid w:val="00072475"/>
    <w:rsid w:val="00085543"/>
    <w:rsid w:val="00096ECB"/>
    <w:rsid w:val="000A16CF"/>
    <w:rsid w:val="000A362E"/>
    <w:rsid w:val="000A4692"/>
    <w:rsid w:val="000A4B6A"/>
    <w:rsid w:val="000A509A"/>
    <w:rsid w:val="000A52B7"/>
    <w:rsid w:val="000A5FA5"/>
    <w:rsid w:val="000A6483"/>
    <w:rsid w:val="000B4AD9"/>
    <w:rsid w:val="000C14BE"/>
    <w:rsid w:val="000C220F"/>
    <w:rsid w:val="000E175B"/>
    <w:rsid w:val="000E20F1"/>
    <w:rsid w:val="000E2A34"/>
    <w:rsid w:val="000E6EDA"/>
    <w:rsid w:val="000E747F"/>
    <w:rsid w:val="000F30CD"/>
    <w:rsid w:val="000F3B18"/>
    <w:rsid w:val="000F5271"/>
    <w:rsid w:val="00107033"/>
    <w:rsid w:val="001123BE"/>
    <w:rsid w:val="00114802"/>
    <w:rsid w:val="00116ACA"/>
    <w:rsid w:val="00120BBD"/>
    <w:rsid w:val="00124BC7"/>
    <w:rsid w:val="00132106"/>
    <w:rsid w:val="0013751B"/>
    <w:rsid w:val="00141186"/>
    <w:rsid w:val="0014175D"/>
    <w:rsid w:val="00143A77"/>
    <w:rsid w:val="00151FE7"/>
    <w:rsid w:val="001520E8"/>
    <w:rsid w:val="00161978"/>
    <w:rsid w:val="001644A2"/>
    <w:rsid w:val="00164B3E"/>
    <w:rsid w:val="00164BCA"/>
    <w:rsid w:val="00165423"/>
    <w:rsid w:val="00170F6A"/>
    <w:rsid w:val="00173A54"/>
    <w:rsid w:val="00190CC8"/>
    <w:rsid w:val="001B32F6"/>
    <w:rsid w:val="001C0F5C"/>
    <w:rsid w:val="001C3D58"/>
    <w:rsid w:val="001D6F72"/>
    <w:rsid w:val="001E4216"/>
    <w:rsid w:val="001F111C"/>
    <w:rsid w:val="001F1BA2"/>
    <w:rsid w:val="001F1E7F"/>
    <w:rsid w:val="001F7AE4"/>
    <w:rsid w:val="00201862"/>
    <w:rsid w:val="0020280A"/>
    <w:rsid w:val="002174AC"/>
    <w:rsid w:val="00220EE1"/>
    <w:rsid w:val="00221097"/>
    <w:rsid w:val="002212D3"/>
    <w:rsid w:val="00222A02"/>
    <w:rsid w:val="00230B32"/>
    <w:rsid w:val="00231BCE"/>
    <w:rsid w:val="002353FF"/>
    <w:rsid w:val="002434DE"/>
    <w:rsid w:val="00251BDC"/>
    <w:rsid w:val="00261FFE"/>
    <w:rsid w:val="00271D70"/>
    <w:rsid w:val="002740B6"/>
    <w:rsid w:val="00276867"/>
    <w:rsid w:val="0029185B"/>
    <w:rsid w:val="002A3F37"/>
    <w:rsid w:val="002A6122"/>
    <w:rsid w:val="002A666C"/>
    <w:rsid w:val="002A6814"/>
    <w:rsid w:val="002A7698"/>
    <w:rsid w:val="002B3EEF"/>
    <w:rsid w:val="002B6547"/>
    <w:rsid w:val="002C01B9"/>
    <w:rsid w:val="002C03EB"/>
    <w:rsid w:val="002C3B88"/>
    <w:rsid w:val="002C4CC9"/>
    <w:rsid w:val="002C71BB"/>
    <w:rsid w:val="002D1046"/>
    <w:rsid w:val="002D6C6E"/>
    <w:rsid w:val="002E3EDE"/>
    <w:rsid w:val="002E4E30"/>
    <w:rsid w:val="002E522C"/>
    <w:rsid w:val="002E6B76"/>
    <w:rsid w:val="002F0CED"/>
    <w:rsid w:val="002F599A"/>
    <w:rsid w:val="002F7AFD"/>
    <w:rsid w:val="003014C6"/>
    <w:rsid w:val="00305FCB"/>
    <w:rsid w:val="00306D25"/>
    <w:rsid w:val="0032109C"/>
    <w:rsid w:val="003213DF"/>
    <w:rsid w:val="0032424D"/>
    <w:rsid w:val="00324924"/>
    <w:rsid w:val="00336A77"/>
    <w:rsid w:val="0034017D"/>
    <w:rsid w:val="0034654F"/>
    <w:rsid w:val="003470B3"/>
    <w:rsid w:val="003530F2"/>
    <w:rsid w:val="00355F8B"/>
    <w:rsid w:val="00360D4A"/>
    <w:rsid w:val="00360E7C"/>
    <w:rsid w:val="00361699"/>
    <w:rsid w:val="00371EBA"/>
    <w:rsid w:val="003728B0"/>
    <w:rsid w:val="003735D6"/>
    <w:rsid w:val="00384B02"/>
    <w:rsid w:val="003877E8"/>
    <w:rsid w:val="00393A3D"/>
    <w:rsid w:val="00394105"/>
    <w:rsid w:val="003A093C"/>
    <w:rsid w:val="003B636D"/>
    <w:rsid w:val="003B6AA9"/>
    <w:rsid w:val="003B6BF4"/>
    <w:rsid w:val="003B6CB1"/>
    <w:rsid w:val="003C14F3"/>
    <w:rsid w:val="003C3284"/>
    <w:rsid w:val="003C35ED"/>
    <w:rsid w:val="003D0BEA"/>
    <w:rsid w:val="003D3B39"/>
    <w:rsid w:val="003D528C"/>
    <w:rsid w:val="003D6140"/>
    <w:rsid w:val="003E2D27"/>
    <w:rsid w:val="003E4674"/>
    <w:rsid w:val="003E498D"/>
    <w:rsid w:val="003E6605"/>
    <w:rsid w:val="003E6A3C"/>
    <w:rsid w:val="003F11D1"/>
    <w:rsid w:val="00401111"/>
    <w:rsid w:val="00410D76"/>
    <w:rsid w:val="00411EEA"/>
    <w:rsid w:val="0041486C"/>
    <w:rsid w:val="004254D5"/>
    <w:rsid w:val="004304EF"/>
    <w:rsid w:val="0043072B"/>
    <w:rsid w:val="00437F43"/>
    <w:rsid w:val="00443529"/>
    <w:rsid w:val="00444521"/>
    <w:rsid w:val="00446775"/>
    <w:rsid w:val="00446807"/>
    <w:rsid w:val="00446D52"/>
    <w:rsid w:val="00452FDB"/>
    <w:rsid w:val="004571FD"/>
    <w:rsid w:val="00457BFA"/>
    <w:rsid w:val="0046022D"/>
    <w:rsid w:val="00460296"/>
    <w:rsid w:val="00461798"/>
    <w:rsid w:val="00465946"/>
    <w:rsid w:val="00467C40"/>
    <w:rsid w:val="0047030D"/>
    <w:rsid w:val="00472B5B"/>
    <w:rsid w:val="00476A47"/>
    <w:rsid w:val="0047701A"/>
    <w:rsid w:val="0047727D"/>
    <w:rsid w:val="00477581"/>
    <w:rsid w:val="00477E41"/>
    <w:rsid w:val="00485C3D"/>
    <w:rsid w:val="004A1B7B"/>
    <w:rsid w:val="004A4758"/>
    <w:rsid w:val="004A478F"/>
    <w:rsid w:val="004B1852"/>
    <w:rsid w:val="004B30FF"/>
    <w:rsid w:val="004B740F"/>
    <w:rsid w:val="004C3FE1"/>
    <w:rsid w:val="004C42D5"/>
    <w:rsid w:val="004C483E"/>
    <w:rsid w:val="004C73F1"/>
    <w:rsid w:val="004D1EA8"/>
    <w:rsid w:val="004D5A9E"/>
    <w:rsid w:val="004D67E3"/>
    <w:rsid w:val="004E085C"/>
    <w:rsid w:val="004E25E9"/>
    <w:rsid w:val="004E32AA"/>
    <w:rsid w:val="004F29DB"/>
    <w:rsid w:val="004F3389"/>
    <w:rsid w:val="004F3EDB"/>
    <w:rsid w:val="00500D6E"/>
    <w:rsid w:val="00505D4B"/>
    <w:rsid w:val="0050784D"/>
    <w:rsid w:val="00511689"/>
    <w:rsid w:val="00514B3D"/>
    <w:rsid w:val="00515427"/>
    <w:rsid w:val="005158B7"/>
    <w:rsid w:val="005166DF"/>
    <w:rsid w:val="00522CD2"/>
    <w:rsid w:val="00525AA5"/>
    <w:rsid w:val="00526E26"/>
    <w:rsid w:val="00541103"/>
    <w:rsid w:val="0054111C"/>
    <w:rsid w:val="00543109"/>
    <w:rsid w:val="00545153"/>
    <w:rsid w:val="00546AED"/>
    <w:rsid w:val="0056196D"/>
    <w:rsid w:val="005645D7"/>
    <w:rsid w:val="00566DA1"/>
    <w:rsid w:val="00567BB7"/>
    <w:rsid w:val="005773A2"/>
    <w:rsid w:val="00583B48"/>
    <w:rsid w:val="00584CC8"/>
    <w:rsid w:val="00585FC8"/>
    <w:rsid w:val="005861C7"/>
    <w:rsid w:val="005862F8"/>
    <w:rsid w:val="00590140"/>
    <w:rsid w:val="0059345B"/>
    <w:rsid w:val="00597ACB"/>
    <w:rsid w:val="005A328B"/>
    <w:rsid w:val="005A63BA"/>
    <w:rsid w:val="005A74CF"/>
    <w:rsid w:val="005B0416"/>
    <w:rsid w:val="005B0912"/>
    <w:rsid w:val="005B0E93"/>
    <w:rsid w:val="005B4722"/>
    <w:rsid w:val="005B6BDF"/>
    <w:rsid w:val="005B6EF9"/>
    <w:rsid w:val="005C3ABC"/>
    <w:rsid w:val="005D50E3"/>
    <w:rsid w:val="005E2788"/>
    <w:rsid w:val="005E6517"/>
    <w:rsid w:val="005E7C25"/>
    <w:rsid w:val="005E7C44"/>
    <w:rsid w:val="005F0986"/>
    <w:rsid w:val="005F4463"/>
    <w:rsid w:val="005F7E41"/>
    <w:rsid w:val="00602D1E"/>
    <w:rsid w:val="00605F42"/>
    <w:rsid w:val="00607E9B"/>
    <w:rsid w:val="00611908"/>
    <w:rsid w:val="00617827"/>
    <w:rsid w:val="00617E8B"/>
    <w:rsid w:val="0062613C"/>
    <w:rsid w:val="00630F7D"/>
    <w:rsid w:val="006336EF"/>
    <w:rsid w:val="00634F80"/>
    <w:rsid w:val="00637931"/>
    <w:rsid w:val="00642307"/>
    <w:rsid w:val="006549D6"/>
    <w:rsid w:val="006563DA"/>
    <w:rsid w:val="006608E1"/>
    <w:rsid w:val="00660C11"/>
    <w:rsid w:val="00663162"/>
    <w:rsid w:val="00665B44"/>
    <w:rsid w:val="0066645D"/>
    <w:rsid w:val="006671BE"/>
    <w:rsid w:val="006673AA"/>
    <w:rsid w:val="00674246"/>
    <w:rsid w:val="00675713"/>
    <w:rsid w:val="006773F9"/>
    <w:rsid w:val="00681E9A"/>
    <w:rsid w:val="006820D5"/>
    <w:rsid w:val="0069240A"/>
    <w:rsid w:val="006937E9"/>
    <w:rsid w:val="00697690"/>
    <w:rsid w:val="00697C03"/>
    <w:rsid w:val="006A0793"/>
    <w:rsid w:val="006A0A08"/>
    <w:rsid w:val="006A2E14"/>
    <w:rsid w:val="006A4F4D"/>
    <w:rsid w:val="006A5A42"/>
    <w:rsid w:val="006A6F7A"/>
    <w:rsid w:val="006A79D1"/>
    <w:rsid w:val="006B00C4"/>
    <w:rsid w:val="006B745E"/>
    <w:rsid w:val="006C2DBA"/>
    <w:rsid w:val="006C2E57"/>
    <w:rsid w:val="006C2E69"/>
    <w:rsid w:val="006C3CB6"/>
    <w:rsid w:val="006C3DC9"/>
    <w:rsid w:val="006C4CCD"/>
    <w:rsid w:val="006C68CA"/>
    <w:rsid w:val="006D69E5"/>
    <w:rsid w:val="006E0FB9"/>
    <w:rsid w:val="006E5EEA"/>
    <w:rsid w:val="006E6A4B"/>
    <w:rsid w:val="006E74D9"/>
    <w:rsid w:val="006F0DB4"/>
    <w:rsid w:val="006F1AB6"/>
    <w:rsid w:val="007070A9"/>
    <w:rsid w:val="00716875"/>
    <w:rsid w:val="0072001A"/>
    <w:rsid w:val="0072089C"/>
    <w:rsid w:val="00721EF9"/>
    <w:rsid w:val="007250D1"/>
    <w:rsid w:val="0072750C"/>
    <w:rsid w:val="00734598"/>
    <w:rsid w:val="007416A8"/>
    <w:rsid w:val="0074341D"/>
    <w:rsid w:val="00751FC2"/>
    <w:rsid w:val="007520A8"/>
    <w:rsid w:val="00752CF7"/>
    <w:rsid w:val="00757C9E"/>
    <w:rsid w:val="0076059B"/>
    <w:rsid w:val="00766316"/>
    <w:rsid w:val="00767080"/>
    <w:rsid w:val="00771562"/>
    <w:rsid w:val="007720FE"/>
    <w:rsid w:val="0077315C"/>
    <w:rsid w:val="00773BCD"/>
    <w:rsid w:val="00783C89"/>
    <w:rsid w:val="0078470E"/>
    <w:rsid w:val="007941EA"/>
    <w:rsid w:val="007A10A7"/>
    <w:rsid w:val="007A1855"/>
    <w:rsid w:val="007A29D8"/>
    <w:rsid w:val="007A380F"/>
    <w:rsid w:val="007A3A6A"/>
    <w:rsid w:val="007B0E64"/>
    <w:rsid w:val="007B1841"/>
    <w:rsid w:val="007B3744"/>
    <w:rsid w:val="007B376E"/>
    <w:rsid w:val="007C363C"/>
    <w:rsid w:val="007C4A37"/>
    <w:rsid w:val="007C7A9D"/>
    <w:rsid w:val="007D43BE"/>
    <w:rsid w:val="007E5F94"/>
    <w:rsid w:val="007F0903"/>
    <w:rsid w:val="00802A9C"/>
    <w:rsid w:val="008038FB"/>
    <w:rsid w:val="00803906"/>
    <w:rsid w:val="00811E4F"/>
    <w:rsid w:val="00813276"/>
    <w:rsid w:val="00820BCC"/>
    <w:rsid w:val="00823741"/>
    <w:rsid w:val="0083355D"/>
    <w:rsid w:val="00834184"/>
    <w:rsid w:val="0083573A"/>
    <w:rsid w:val="00836087"/>
    <w:rsid w:val="00837F9A"/>
    <w:rsid w:val="008405B2"/>
    <w:rsid w:val="00840D27"/>
    <w:rsid w:val="00851C7E"/>
    <w:rsid w:val="008532DE"/>
    <w:rsid w:val="0085788D"/>
    <w:rsid w:val="00862D19"/>
    <w:rsid w:val="00865AC2"/>
    <w:rsid w:val="0086725A"/>
    <w:rsid w:val="0086776C"/>
    <w:rsid w:val="0088214D"/>
    <w:rsid w:val="00882B71"/>
    <w:rsid w:val="00883E42"/>
    <w:rsid w:val="00887841"/>
    <w:rsid w:val="00891C1F"/>
    <w:rsid w:val="008B2592"/>
    <w:rsid w:val="008C277C"/>
    <w:rsid w:val="008C7F62"/>
    <w:rsid w:val="008D1DB3"/>
    <w:rsid w:val="008D2AC4"/>
    <w:rsid w:val="008D6191"/>
    <w:rsid w:val="008D69EE"/>
    <w:rsid w:val="008F37C7"/>
    <w:rsid w:val="008F64BC"/>
    <w:rsid w:val="008F7557"/>
    <w:rsid w:val="009015A6"/>
    <w:rsid w:val="00904413"/>
    <w:rsid w:val="009050D3"/>
    <w:rsid w:val="009104F5"/>
    <w:rsid w:val="0093326F"/>
    <w:rsid w:val="00934464"/>
    <w:rsid w:val="00940159"/>
    <w:rsid w:val="0094431C"/>
    <w:rsid w:val="009459DC"/>
    <w:rsid w:val="00954C97"/>
    <w:rsid w:val="00956190"/>
    <w:rsid w:val="00957CE9"/>
    <w:rsid w:val="00967391"/>
    <w:rsid w:val="00973B29"/>
    <w:rsid w:val="00974CBD"/>
    <w:rsid w:val="00977E8A"/>
    <w:rsid w:val="00983E28"/>
    <w:rsid w:val="009848FA"/>
    <w:rsid w:val="009867C2"/>
    <w:rsid w:val="00992CFB"/>
    <w:rsid w:val="00994ACC"/>
    <w:rsid w:val="009A2225"/>
    <w:rsid w:val="009A5B80"/>
    <w:rsid w:val="009B06F8"/>
    <w:rsid w:val="009B0858"/>
    <w:rsid w:val="009B1D8E"/>
    <w:rsid w:val="009B26B6"/>
    <w:rsid w:val="009B372B"/>
    <w:rsid w:val="009B5DFD"/>
    <w:rsid w:val="009D505C"/>
    <w:rsid w:val="009E2A1A"/>
    <w:rsid w:val="009E7E33"/>
    <w:rsid w:val="009F23CF"/>
    <w:rsid w:val="009F3231"/>
    <w:rsid w:val="00A217A0"/>
    <w:rsid w:val="00A43F2C"/>
    <w:rsid w:val="00A477D2"/>
    <w:rsid w:val="00A55288"/>
    <w:rsid w:val="00A61577"/>
    <w:rsid w:val="00A63C51"/>
    <w:rsid w:val="00A71D4C"/>
    <w:rsid w:val="00A745C5"/>
    <w:rsid w:val="00A76971"/>
    <w:rsid w:val="00A77F90"/>
    <w:rsid w:val="00A83F43"/>
    <w:rsid w:val="00A92902"/>
    <w:rsid w:val="00A956FC"/>
    <w:rsid w:val="00A976C9"/>
    <w:rsid w:val="00AA405C"/>
    <w:rsid w:val="00AA61B5"/>
    <w:rsid w:val="00AB1355"/>
    <w:rsid w:val="00AB329E"/>
    <w:rsid w:val="00AB74CD"/>
    <w:rsid w:val="00AC16FC"/>
    <w:rsid w:val="00AD00A3"/>
    <w:rsid w:val="00AE507F"/>
    <w:rsid w:val="00AE57FF"/>
    <w:rsid w:val="00AF1425"/>
    <w:rsid w:val="00AF2BEB"/>
    <w:rsid w:val="00AF5B10"/>
    <w:rsid w:val="00AF6628"/>
    <w:rsid w:val="00B014B9"/>
    <w:rsid w:val="00B068E4"/>
    <w:rsid w:val="00B11142"/>
    <w:rsid w:val="00B15E7A"/>
    <w:rsid w:val="00B179E9"/>
    <w:rsid w:val="00B17D82"/>
    <w:rsid w:val="00B30E92"/>
    <w:rsid w:val="00B31E80"/>
    <w:rsid w:val="00B3495E"/>
    <w:rsid w:val="00B458F8"/>
    <w:rsid w:val="00B47098"/>
    <w:rsid w:val="00B56271"/>
    <w:rsid w:val="00B66BB9"/>
    <w:rsid w:val="00B67EB7"/>
    <w:rsid w:val="00B67F92"/>
    <w:rsid w:val="00B763F9"/>
    <w:rsid w:val="00B84BB4"/>
    <w:rsid w:val="00B84DFE"/>
    <w:rsid w:val="00B944AC"/>
    <w:rsid w:val="00B97E3D"/>
    <w:rsid w:val="00BA3921"/>
    <w:rsid w:val="00BA5A84"/>
    <w:rsid w:val="00BA71C5"/>
    <w:rsid w:val="00BB4850"/>
    <w:rsid w:val="00BD0A82"/>
    <w:rsid w:val="00BD174A"/>
    <w:rsid w:val="00BD70AD"/>
    <w:rsid w:val="00BE0F55"/>
    <w:rsid w:val="00BE23E3"/>
    <w:rsid w:val="00BE256B"/>
    <w:rsid w:val="00BE570A"/>
    <w:rsid w:val="00BF071A"/>
    <w:rsid w:val="00BF1620"/>
    <w:rsid w:val="00BF186D"/>
    <w:rsid w:val="00BF20B3"/>
    <w:rsid w:val="00BF3147"/>
    <w:rsid w:val="00BF6B60"/>
    <w:rsid w:val="00BF6D75"/>
    <w:rsid w:val="00C01ED7"/>
    <w:rsid w:val="00C0732E"/>
    <w:rsid w:val="00C12546"/>
    <w:rsid w:val="00C13D9D"/>
    <w:rsid w:val="00C15B9A"/>
    <w:rsid w:val="00C166C4"/>
    <w:rsid w:val="00C21D76"/>
    <w:rsid w:val="00C257A0"/>
    <w:rsid w:val="00C25A47"/>
    <w:rsid w:val="00C25BB3"/>
    <w:rsid w:val="00C27906"/>
    <w:rsid w:val="00C30556"/>
    <w:rsid w:val="00C33967"/>
    <w:rsid w:val="00C363A8"/>
    <w:rsid w:val="00C40EBB"/>
    <w:rsid w:val="00C42F7B"/>
    <w:rsid w:val="00C569D3"/>
    <w:rsid w:val="00C628CB"/>
    <w:rsid w:val="00C6395A"/>
    <w:rsid w:val="00C65948"/>
    <w:rsid w:val="00C71D97"/>
    <w:rsid w:val="00C73EA8"/>
    <w:rsid w:val="00C7749B"/>
    <w:rsid w:val="00C81594"/>
    <w:rsid w:val="00C8165D"/>
    <w:rsid w:val="00C82EA7"/>
    <w:rsid w:val="00C845F6"/>
    <w:rsid w:val="00C92057"/>
    <w:rsid w:val="00C935F0"/>
    <w:rsid w:val="00CA0596"/>
    <w:rsid w:val="00CA287E"/>
    <w:rsid w:val="00CA3265"/>
    <w:rsid w:val="00CA7002"/>
    <w:rsid w:val="00CA7F1D"/>
    <w:rsid w:val="00CB6583"/>
    <w:rsid w:val="00CE0D7F"/>
    <w:rsid w:val="00CE123F"/>
    <w:rsid w:val="00CE6688"/>
    <w:rsid w:val="00CF015B"/>
    <w:rsid w:val="00CF22F7"/>
    <w:rsid w:val="00CF2F6D"/>
    <w:rsid w:val="00CF5F16"/>
    <w:rsid w:val="00D01C72"/>
    <w:rsid w:val="00D026E7"/>
    <w:rsid w:val="00D2374E"/>
    <w:rsid w:val="00D32E84"/>
    <w:rsid w:val="00D4059A"/>
    <w:rsid w:val="00D40E24"/>
    <w:rsid w:val="00D4276A"/>
    <w:rsid w:val="00D44C79"/>
    <w:rsid w:val="00D52FF6"/>
    <w:rsid w:val="00D53870"/>
    <w:rsid w:val="00D56E03"/>
    <w:rsid w:val="00D571DA"/>
    <w:rsid w:val="00D626DE"/>
    <w:rsid w:val="00D62849"/>
    <w:rsid w:val="00D653F8"/>
    <w:rsid w:val="00D7314D"/>
    <w:rsid w:val="00D74020"/>
    <w:rsid w:val="00D8366B"/>
    <w:rsid w:val="00D85026"/>
    <w:rsid w:val="00D91425"/>
    <w:rsid w:val="00D96BD4"/>
    <w:rsid w:val="00DA2C14"/>
    <w:rsid w:val="00DB0857"/>
    <w:rsid w:val="00DB1BDF"/>
    <w:rsid w:val="00DB4447"/>
    <w:rsid w:val="00DB4F92"/>
    <w:rsid w:val="00DB5569"/>
    <w:rsid w:val="00DB689F"/>
    <w:rsid w:val="00DB795F"/>
    <w:rsid w:val="00DB7CEA"/>
    <w:rsid w:val="00DC79B7"/>
    <w:rsid w:val="00DD2E4B"/>
    <w:rsid w:val="00DD768A"/>
    <w:rsid w:val="00DD78A9"/>
    <w:rsid w:val="00DE3335"/>
    <w:rsid w:val="00DF0906"/>
    <w:rsid w:val="00DF718A"/>
    <w:rsid w:val="00E00F63"/>
    <w:rsid w:val="00E033D6"/>
    <w:rsid w:val="00E04019"/>
    <w:rsid w:val="00E04FB0"/>
    <w:rsid w:val="00E10086"/>
    <w:rsid w:val="00E12746"/>
    <w:rsid w:val="00E143B3"/>
    <w:rsid w:val="00E151CB"/>
    <w:rsid w:val="00E15711"/>
    <w:rsid w:val="00E16A20"/>
    <w:rsid w:val="00E17AA6"/>
    <w:rsid w:val="00E20B44"/>
    <w:rsid w:val="00E21B60"/>
    <w:rsid w:val="00E241EE"/>
    <w:rsid w:val="00E26C7D"/>
    <w:rsid w:val="00E30D2B"/>
    <w:rsid w:val="00E33340"/>
    <w:rsid w:val="00E36036"/>
    <w:rsid w:val="00E43516"/>
    <w:rsid w:val="00E54653"/>
    <w:rsid w:val="00E546F2"/>
    <w:rsid w:val="00E55F49"/>
    <w:rsid w:val="00E61A8A"/>
    <w:rsid w:val="00E61B50"/>
    <w:rsid w:val="00E671C6"/>
    <w:rsid w:val="00E74C08"/>
    <w:rsid w:val="00E8188E"/>
    <w:rsid w:val="00E86D55"/>
    <w:rsid w:val="00E90F70"/>
    <w:rsid w:val="00E91E83"/>
    <w:rsid w:val="00E92A8A"/>
    <w:rsid w:val="00E95031"/>
    <w:rsid w:val="00EB6F0D"/>
    <w:rsid w:val="00EC0017"/>
    <w:rsid w:val="00EC380A"/>
    <w:rsid w:val="00EC60A0"/>
    <w:rsid w:val="00ED2078"/>
    <w:rsid w:val="00ED3154"/>
    <w:rsid w:val="00ED4339"/>
    <w:rsid w:val="00ED46E7"/>
    <w:rsid w:val="00ED6EE1"/>
    <w:rsid w:val="00EE37EC"/>
    <w:rsid w:val="00EE39B9"/>
    <w:rsid w:val="00EF1FC2"/>
    <w:rsid w:val="00EF28B8"/>
    <w:rsid w:val="00EF3858"/>
    <w:rsid w:val="00EF3B38"/>
    <w:rsid w:val="00EF3BCB"/>
    <w:rsid w:val="00EF46B4"/>
    <w:rsid w:val="00EF6583"/>
    <w:rsid w:val="00F0175C"/>
    <w:rsid w:val="00F04157"/>
    <w:rsid w:val="00F05F85"/>
    <w:rsid w:val="00F07B5E"/>
    <w:rsid w:val="00F13CA7"/>
    <w:rsid w:val="00F3360A"/>
    <w:rsid w:val="00F377AF"/>
    <w:rsid w:val="00F41874"/>
    <w:rsid w:val="00F474EA"/>
    <w:rsid w:val="00F47E54"/>
    <w:rsid w:val="00F5002A"/>
    <w:rsid w:val="00F5307E"/>
    <w:rsid w:val="00F564FB"/>
    <w:rsid w:val="00F6025A"/>
    <w:rsid w:val="00F62EF0"/>
    <w:rsid w:val="00F64678"/>
    <w:rsid w:val="00F647C5"/>
    <w:rsid w:val="00F67A89"/>
    <w:rsid w:val="00F747E4"/>
    <w:rsid w:val="00F77DD3"/>
    <w:rsid w:val="00F8448F"/>
    <w:rsid w:val="00F863EC"/>
    <w:rsid w:val="00F9618C"/>
    <w:rsid w:val="00FA336F"/>
    <w:rsid w:val="00FA7CAB"/>
    <w:rsid w:val="00FB0909"/>
    <w:rsid w:val="00FB40CE"/>
    <w:rsid w:val="00FC0F19"/>
    <w:rsid w:val="00FC4C60"/>
    <w:rsid w:val="00FC5F33"/>
    <w:rsid w:val="00FE0B6D"/>
    <w:rsid w:val="00FE1498"/>
    <w:rsid w:val="00FE33CD"/>
    <w:rsid w:val="00FE73C4"/>
    <w:rsid w:val="00FF12F4"/>
    <w:rsid w:val="00FF2BF8"/>
    <w:rsid w:val="00FF45B6"/>
    <w:rsid w:val="00FF5F9B"/>
    <w:rsid w:val="00FF7F98"/>
    <w:rsid w:val="01286B3A"/>
    <w:rsid w:val="013EDC68"/>
    <w:rsid w:val="017DF8B6"/>
    <w:rsid w:val="01902F80"/>
    <w:rsid w:val="01AE050C"/>
    <w:rsid w:val="01E53A1E"/>
    <w:rsid w:val="0208673B"/>
    <w:rsid w:val="023B7B9B"/>
    <w:rsid w:val="02C2B9A3"/>
    <w:rsid w:val="02C52692"/>
    <w:rsid w:val="02EE471C"/>
    <w:rsid w:val="02EFF9FB"/>
    <w:rsid w:val="03016901"/>
    <w:rsid w:val="03501B06"/>
    <w:rsid w:val="036244FE"/>
    <w:rsid w:val="03790B2A"/>
    <w:rsid w:val="0385AAEA"/>
    <w:rsid w:val="039CE5CD"/>
    <w:rsid w:val="03D20C74"/>
    <w:rsid w:val="043ACFAC"/>
    <w:rsid w:val="044EB3F3"/>
    <w:rsid w:val="0461A05C"/>
    <w:rsid w:val="0463A642"/>
    <w:rsid w:val="04800BDC"/>
    <w:rsid w:val="049AD9F4"/>
    <w:rsid w:val="04AA3114"/>
    <w:rsid w:val="04C4221B"/>
    <w:rsid w:val="04D67EE5"/>
    <w:rsid w:val="06378153"/>
    <w:rsid w:val="06EA4451"/>
    <w:rsid w:val="072A3D69"/>
    <w:rsid w:val="073361F6"/>
    <w:rsid w:val="073F3742"/>
    <w:rsid w:val="07573283"/>
    <w:rsid w:val="076DD24D"/>
    <w:rsid w:val="0789FDFD"/>
    <w:rsid w:val="07CD507F"/>
    <w:rsid w:val="07E7F8AC"/>
    <w:rsid w:val="084A3CAB"/>
    <w:rsid w:val="08A72F5E"/>
    <w:rsid w:val="0987E435"/>
    <w:rsid w:val="09B8C15A"/>
    <w:rsid w:val="0A18995C"/>
    <w:rsid w:val="0A2000FE"/>
    <w:rsid w:val="0A2CBD99"/>
    <w:rsid w:val="0A4C46C4"/>
    <w:rsid w:val="0A6592ED"/>
    <w:rsid w:val="0A8B781F"/>
    <w:rsid w:val="0A918CED"/>
    <w:rsid w:val="0AFBA92F"/>
    <w:rsid w:val="0B57F58F"/>
    <w:rsid w:val="0BC01E90"/>
    <w:rsid w:val="0C20C187"/>
    <w:rsid w:val="0C3F2CED"/>
    <w:rsid w:val="0C6AFEBE"/>
    <w:rsid w:val="0C879E12"/>
    <w:rsid w:val="0CA3A0AF"/>
    <w:rsid w:val="0CB9E7A9"/>
    <w:rsid w:val="0CD22566"/>
    <w:rsid w:val="0D0A3FF2"/>
    <w:rsid w:val="0D245697"/>
    <w:rsid w:val="0D631DFF"/>
    <w:rsid w:val="0D9C6E74"/>
    <w:rsid w:val="0DB1D3D5"/>
    <w:rsid w:val="0DDB3C4D"/>
    <w:rsid w:val="0E2A1C45"/>
    <w:rsid w:val="0E325926"/>
    <w:rsid w:val="0E4E5185"/>
    <w:rsid w:val="0E981FE3"/>
    <w:rsid w:val="0EAE019B"/>
    <w:rsid w:val="0EB5DECE"/>
    <w:rsid w:val="0FB0939E"/>
    <w:rsid w:val="0FD238E9"/>
    <w:rsid w:val="10780679"/>
    <w:rsid w:val="1102E7BC"/>
    <w:rsid w:val="1103566F"/>
    <w:rsid w:val="111942A5"/>
    <w:rsid w:val="111F7DF1"/>
    <w:rsid w:val="11442A42"/>
    <w:rsid w:val="1162F834"/>
    <w:rsid w:val="11775F7C"/>
    <w:rsid w:val="118A95D3"/>
    <w:rsid w:val="11E276E4"/>
    <w:rsid w:val="1275E9E3"/>
    <w:rsid w:val="12A84CB0"/>
    <w:rsid w:val="12C82616"/>
    <w:rsid w:val="12FF70B5"/>
    <w:rsid w:val="139169A5"/>
    <w:rsid w:val="1393C8E8"/>
    <w:rsid w:val="139703DB"/>
    <w:rsid w:val="13ECA5D9"/>
    <w:rsid w:val="14079FEB"/>
    <w:rsid w:val="14250CE0"/>
    <w:rsid w:val="1485B2AD"/>
    <w:rsid w:val="150C9716"/>
    <w:rsid w:val="152C7117"/>
    <w:rsid w:val="15418438"/>
    <w:rsid w:val="15424FD9"/>
    <w:rsid w:val="15E75CFA"/>
    <w:rsid w:val="15F6D855"/>
    <w:rsid w:val="15FD6426"/>
    <w:rsid w:val="16146338"/>
    <w:rsid w:val="161CE878"/>
    <w:rsid w:val="161EC72E"/>
    <w:rsid w:val="1656676E"/>
    <w:rsid w:val="16B1C1C3"/>
    <w:rsid w:val="16B6DF2A"/>
    <w:rsid w:val="16F716C4"/>
    <w:rsid w:val="170C95A7"/>
    <w:rsid w:val="1752E05C"/>
    <w:rsid w:val="17765FA2"/>
    <w:rsid w:val="17B3A70A"/>
    <w:rsid w:val="17BA505B"/>
    <w:rsid w:val="17EF94A4"/>
    <w:rsid w:val="18399722"/>
    <w:rsid w:val="18470E9C"/>
    <w:rsid w:val="1945F098"/>
    <w:rsid w:val="1956BC69"/>
    <w:rsid w:val="196B0BA3"/>
    <w:rsid w:val="1A19848D"/>
    <w:rsid w:val="1A703D6D"/>
    <w:rsid w:val="1A868595"/>
    <w:rsid w:val="1A9332C6"/>
    <w:rsid w:val="1AD6FC5C"/>
    <w:rsid w:val="1AE902B2"/>
    <w:rsid w:val="1AFE91E4"/>
    <w:rsid w:val="1B0C8AA4"/>
    <w:rsid w:val="1B2665F8"/>
    <w:rsid w:val="1B2A3A75"/>
    <w:rsid w:val="1B4E23D3"/>
    <w:rsid w:val="1B7DAA03"/>
    <w:rsid w:val="1C4062F6"/>
    <w:rsid w:val="1C7B37A7"/>
    <w:rsid w:val="1C7B9D8E"/>
    <w:rsid w:val="1CB18E37"/>
    <w:rsid w:val="1CEF5891"/>
    <w:rsid w:val="1D3AB58A"/>
    <w:rsid w:val="1D554E63"/>
    <w:rsid w:val="1DA95EE0"/>
    <w:rsid w:val="1DC7D4FE"/>
    <w:rsid w:val="1DD0BBC1"/>
    <w:rsid w:val="1DE9415D"/>
    <w:rsid w:val="1E244CF9"/>
    <w:rsid w:val="1E302D55"/>
    <w:rsid w:val="1E606F61"/>
    <w:rsid w:val="1E82428A"/>
    <w:rsid w:val="1EC7614A"/>
    <w:rsid w:val="1EE15CB8"/>
    <w:rsid w:val="1F19016C"/>
    <w:rsid w:val="1F1FD1F4"/>
    <w:rsid w:val="1F25474D"/>
    <w:rsid w:val="1F8FFC61"/>
    <w:rsid w:val="1FA58E35"/>
    <w:rsid w:val="1FAEE0D8"/>
    <w:rsid w:val="1FB5B207"/>
    <w:rsid w:val="2001C5B4"/>
    <w:rsid w:val="2021D7B4"/>
    <w:rsid w:val="204163FE"/>
    <w:rsid w:val="2051FFC2"/>
    <w:rsid w:val="20770ABD"/>
    <w:rsid w:val="2091C6BF"/>
    <w:rsid w:val="20A2FADE"/>
    <w:rsid w:val="20A578D1"/>
    <w:rsid w:val="2136D4ED"/>
    <w:rsid w:val="218D43A9"/>
    <w:rsid w:val="2190934B"/>
    <w:rsid w:val="21988594"/>
    <w:rsid w:val="21FDA3DC"/>
    <w:rsid w:val="2237D7AF"/>
    <w:rsid w:val="22893EE6"/>
    <w:rsid w:val="228A9DD7"/>
    <w:rsid w:val="2312ECE0"/>
    <w:rsid w:val="234636BB"/>
    <w:rsid w:val="2346374F"/>
    <w:rsid w:val="235951EB"/>
    <w:rsid w:val="23704E9A"/>
    <w:rsid w:val="241D227B"/>
    <w:rsid w:val="24203004"/>
    <w:rsid w:val="24E290CA"/>
    <w:rsid w:val="24F489D3"/>
    <w:rsid w:val="2508B6A2"/>
    <w:rsid w:val="250FF835"/>
    <w:rsid w:val="256CCFD6"/>
    <w:rsid w:val="256DAF34"/>
    <w:rsid w:val="2592EA9F"/>
    <w:rsid w:val="259D8C78"/>
    <w:rsid w:val="25A23D2C"/>
    <w:rsid w:val="25A98C3D"/>
    <w:rsid w:val="25CC6078"/>
    <w:rsid w:val="2601E453"/>
    <w:rsid w:val="261690D6"/>
    <w:rsid w:val="261F7041"/>
    <w:rsid w:val="262AC49D"/>
    <w:rsid w:val="2684D878"/>
    <w:rsid w:val="26C56C42"/>
    <w:rsid w:val="26DFA782"/>
    <w:rsid w:val="272AEC1B"/>
    <w:rsid w:val="2731FA4A"/>
    <w:rsid w:val="2751F441"/>
    <w:rsid w:val="275CC317"/>
    <w:rsid w:val="278A5D8D"/>
    <w:rsid w:val="27B8AA8A"/>
    <w:rsid w:val="27FFB948"/>
    <w:rsid w:val="2841554E"/>
    <w:rsid w:val="28EA6EF7"/>
    <w:rsid w:val="299DCEF4"/>
    <w:rsid w:val="29ABE6E5"/>
    <w:rsid w:val="29F3499B"/>
    <w:rsid w:val="2A307323"/>
    <w:rsid w:val="2A6EDFD5"/>
    <w:rsid w:val="2A8DECEC"/>
    <w:rsid w:val="2AF1A200"/>
    <w:rsid w:val="2AF24769"/>
    <w:rsid w:val="2B356B11"/>
    <w:rsid w:val="2B3BEEEE"/>
    <w:rsid w:val="2B4525C2"/>
    <w:rsid w:val="2B756154"/>
    <w:rsid w:val="2B89DCA3"/>
    <w:rsid w:val="2BAAFB5E"/>
    <w:rsid w:val="2BCF87DB"/>
    <w:rsid w:val="2BD6CE97"/>
    <w:rsid w:val="2BFDBF84"/>
    <w:rsid w:val="2C34B177"/>
    <w:rsid w:val="2C69C9A6"/>
    <w:rsid w:val="2C6A8264"/>
    <w:rsid w:val="2CB38D41"/>
    <w:rsid w:val="2CE20424"/>
    <w:rsid w:val="2D5B2B02"/>
    <w:rsid w:val="2DA3A9C4"/>
    <w:rsid w:val="2DC6994D"/>
    <w:rsid w:val="2DE16518"/>
    <w:rsid w:val="2DF53842"/>
    <w:rsid w:val="2E047EA6"/>
    <w:rsid w:val="2E427FB2"/>
    <w:rsid w:val="2EE6C210"/>
    <w:rsid w:val="2EF53187"/>
    <w:rsid w:val="2EF672F4"/>
    <w:rsid w:val="2FF09817"/>
    <w:rsid w:val="300187F9"/>
    <w:rsid w:val="3012A60A"/>
    <w:rsid w:val="30167F7F"/>
    <w:rsid w:val="30385505"/>
    <w:rsid w:val="30495811"/>
    <w:rsid w:val="3052DCE5"/>
    <w:rsid w:val="3054DA55"/>
    <w:rsid w:val="305559E4"/>
    <w:rsid w:val="30658782"/>
    <w:rsid w:val="30748B65"/>
    <w:rsid w:val="30919FFB"/>
    <w:rsid w:val="30BA201D"/>
    <w:rsid w:val="30CC582A"/>
    <w:rsid w:val="30F131E9"/>
    <w:rsid w:val="31021ED5"/>
    <w:rsid w:val="313F2B25"/>
    <w:rsid w:val="319F7FB5"/>
    <w:rsid w:val="31A9EA67"/>
    <w:rsid w:val="31D1BECB"/>
    <w:rsid w:val="32C4F5DE"/>
    <w:rsid w:val="335F24E1"/>
    <w:rsid w:val="33B6F5F1"/>
    <w:rsid w:val="33CB39C5"/>
    <w:rsid w:val="33CD3FA2"/>
    <w:rsid w:val="33D781FD"/>
    <w:rsid w:val="34105604"/>
    <w:rsid w:val="34226BC0"/>
    <w:rsid w:val="342F3F25"/>
    <w:rsid w:val="35032886"/>
    <w:rsid w:val="353E5F76"/>
    <w:rsid w:val="35465400"/>
    <w:rsid w:val="35B6B70D"/>
    <w:rsid w:val="35EDFAB9"/>
    <w:rsid w:val="36031DEB"/>
    <w:rsid w:val="361D82E1"/>
    <w:rsid w:val="3629ECCF"/>
    <w:rsid w:val="3647C999"/>
    <w:rsid w:val="36EE9153"/>
    <w:rsid w:val="372F5BD0"/>
    <w:rsid w:val="3744998A"/>
    <w:rsid w:val="378C2944"/>
    <w:rsid w:val="37A3F647"/>
    <w:rsid w:val="37C8926C"/>
    <w:rsid w:val="386305B4"/>
    <w:rsid w:val="38952179"/>
    <w:rsid w:val="38AC1005"/>
    <w:rsid w:val="38F9AFED"/>
    <w:rsid w:val="390D578D"/>
    <w:rsid w:val="3941817E"/>
    <w:rsid w:val="394290FA"/>
    <w:rsid w:val="3956DAE6"/>
    <w:rsid w:val="395AE2C4"/>
    <w:rsid w:val="3975300E"/>
    <w:rsid w:val="39DBCD1F"/>
    <w:rsid w:val="3A5595EA"/>
    <w:rsid w:val="3A56E788"/>
    <w:rsid w:val="3AAF6374"/>
    <w:rsid w:val="3AED624E"/>
    <w:rsid w:val="3B51DF21"/>
    <w:rsid w:val="3BB3DEFC"/>
    <w:rsid w:val="3BD48DDC"/>
    <w:rsid w:val="3C35F48C"/>
    <w:rsid w:val="3C801A09"/>
    <w:rsid w:val="3CA9426F"/>
    <w:rsid w:val="3CC2CC3A"/>
    <w:rsid w:val="3D029C71"/>
    <w:rsid w:val="3DEC05C6"/>
    <w:rsid w:val="3DF4EBD4"/>
    <w:rsid w:val="3E067DCB"/>
    <w:rsid w:val="3E0B9339"/>
    <w:rsid w:val="3E16F7C5"/>
    <w:rsid w:val="3E17DFE0"/>
    <w:rsid w:val="3E54894F"/>
    <w:rsid w:val="3E588BAB"/>
    <w:rsid w:val="3E90CFB1"/>
    <w:rsid w:val="3EFADC15"/>
    <w:rsid w:val="3F234289"/>
    <w:rsid w:val="3F40E2C6"/>
    <w:rsid w:val="3FAFDDB3"/>
    <w:rsid w:val="3FC411DB"/>
    <w:rsid w:val="3FC90713"/>
    <w:rsid w:val="3FCB544D"/>
    <w:rsid w:val="3FCB7C8C"/>
    <w:rsid w:val="40029EFF"/>
    <w:rsid w:val="40316C64"/>
    <w:rsid w:val="40530E53"/>
    <w:rsid w:val="40D2D3FB"/>
    <w:rsid w:val="40E37011"/>
    <w:rsid w:val="40FD4AE9"/>
    <w:rsid w:val="41445F82"/>
    <w:rsid w:val="41924C72"/>
    <w:rsid w:val="41983677"/>
    <w:rsid w:val="41D47A38"/>
    <w:rsid w:val="41D68640"/>
    <w:rsid w:val="41DF978A"/>
    <w:rsid w:val="41EDC32C"/>
    <w:rsid w:val="41FD0177"/>
    <w:rsid w:val="428E40AE"/>
    <w:rsid w:val="4315B64E"/>
    <w:rsid w:val="43256A1A"/>
    <w:rsid w:val="432C373A"/>
    <w:rsid w:val="436D5AFD"/>
    <w:rsid w:val="43788A12"/>
    <w:rsid w:val="438C1893"/>
    <w:rsid w:val="43B157E1"/>
    <w:rsid w:val="43DF7CD9"/>
    <w:rsid w:val="440B9C3B"/>
    <w:rsid w:val="4412787E"/>
    <w:rsid w:val="445418A7"/>
    <w:rsid w:val="447A77A2"/>
    <w:rsid w:val="451A822E"/>
    <w:rsid w:val="45441413"/>
    <w:rsid w:val="455234A0"/>
    <w:rsid w:val="4572BCFE"/>
    <w:rsid w:val="45BBA54E"/>
    <w:rsid w:val="45E0BCC1"/>
    <w:rsid w:val="46B3CB76"/>
    <w:rsid w:val="46E39E51"/>
    <w:rsid w:val="46E6237D"/>
    <w:rsid w:val="46EA7E50"/>
    <w:rsid w:val="47175874"/>
    <w:rsid w:val="474AA285"/>
    <w:rsid w:val="474F6D51"/>
    <w:rsid w:val="47AFB4D2"/>
    <w:rsid w:val="47B45CF3"/>
    <w:rsid w:val="47B4A42B"/>
    <w:rsid w:val="47D24067"/>
    <w:rsid w:val="47FCE5EF"/>
    <w:rsid w:val="48047352"/>
    <w:rsid w:val="480D6627"/>
    <w:rsid w:val="480FEB70"/>
    <w:rsid w:val="487B7BA2"/>
    <w:rsid w:val="4907E846"/>
    <w:rsid w:val="4912094C"/>
    <w:rsid w:val="4952D29B"/>
    <w:rsid w:val="49A99B87"/>
    <w:rsid w:val="49DEB238"/>
    <w:rsid w:val="49E8ABB2"/>
    <w:rsid w:val="4A0926BF"/>
    <w:rsid w:val="4A0BA744"/>
    <w:rsid w:val="4A0E851D"/>
    <w:rsid w:val="4A756824"/>
    <w:rsid w:val="4A8B95B5"/>
    <w:rsid w:val="4B22A0B7"/>
    <w:rsid w:val="4B510838"/>
    <w:rsid w:val="4B5C2F80"/>
    <w:rsid w:val="4B911986"/>
    <w:rsid w:val="4C46374D"/>
    <w:rsid w:val="4CABB70E"/>
    <w:rsid w:val="4D1B98A4"/>
    <w:rsid w:val="4D3F6FC0"/>
    <w:rsid w:val="4D64F850"/>
    <w:rsid w:val="4E08910B"/>
    <w:rsid w:val="4E137283"/>
    <w:rsid w:val="4E2D8987"/>
    <w:rsid w:val="4E8FD006"/>
    <w:rsid w:val="4E9A5964"/>
    <w:rsid w:val="4ED6EBD4"/>
    <w:rsid w:val="4EE0DA78"/>
    <w:rsid w:val="4EEB27B3"/>
    <w:rsid w:val="4F23A729"/>
    <w:rsid w:val="4FC6FAED"/>
    <w:rsid w:val="50871212"/>
    <w:rsid w:val="50A3BCCD"/>
    <w:rsid w:val="50BDA2DF"/>
    <w:rsid w:val="50DC341F"/>
    <w:rsid w:val="51222C37"/>
    <w:rsid w:val="512466A3"/>
    <w:rsid w:val="513D8ED7"/>
    <w:rsid w:val="52400C6D"/>
    <w:rsid w:val="524D6D7D"/>
    <w:rsid w:val="5297E86E"/>
    <w:rsid w:val="52A455B4"/>
    <w:rsid w:val="52B886C1"/>
    <w:rsid w:val="52E0AB47"/>
    <w:rsid w:val="52F3B483"/>
    <w:rsid w:val="531862AF"/>
    <w:rsid w:val="5320F3E0"/>
    <w:rsid w:val="533C2163"/>
    <w:rsid w:val="537718C4"/>
    <w:rsid w:val="539FDB4F"/>
    <w:rsid w:val="547A1FFA"/>
    <w:rsid w:val="54A1A1FF"/>
    <w:rsid w:val="54D2FB64"/>
    <w:rsid w:val="54D31CCD"/>
    <w:rsid w:val="54DFACD7"/>
    <w:rsid w:val="554063C0"/>
    <w:rsid w:val="55416352"/>
    <w:rsid w:val="55EBCA79"/>
    <w:rsid w:val="55F220B0"/>
    <w:rsid w:val="560212EE"/>
    <w:rsid w:val="560A18E4"/>
    <w:rsid w:val="565CE4E1"/>
    <w:rsid w:val="568061D9"/>
    <w:rsid w:val="56A53D05"/>
    <w:rsid w:val="56B02524"/>
    <w:rsid w:val="56EFEDB8"/>
    <w:rsid w:val="5757A13A"/>
    <w:rsid w:val="577EF5E6"/>
    <w:rsid w:val="57AAEACC"/>
    <w:rsid w:val="5823F81F"/>
    <w:rsid w:val="582FEF73"/>
    <w:rsid w:val="5867B8D8"/>
    <w:rsid w:val="58CCAFE3"/>
    <w:rsid w:val="593A1690"/>
    <w:rsid w:val="593AD275"/>
    <w:rsid w:val="594BBD87"/>
    <w:rsid w:val="59B37FDF"/>
    <w:rsid w:val="5A0E6975"/>
    <w:rsid w:val="5A1A9676"/>
    <w:rsid w:val="5A1CB390"/>
    <w:rsid w:val="5A71D07B"/>
    <w:rsid w:val="5A7539FB"/>
    <w:rsid w:val="5A777DC8"/>
    <w:rsid w:val="5AD6C731"/>
    <w:rsid w:val="5B9B685C"/>
    <w:rsid w:val="5BEB0664"/>
    <w:rsid w:val="5C26438C"/>
    <w:rsid w:val="5C75A456"/>
    <w:rsid w:val="5C80E1BE"/>
    <w:rsid w:val="5C961515"/>
    <w:rsid w:val="5CC58826"/>
    <w:rsid w:val="5CC81BB9"/>
    <w:rsid w:val="5CF1FD73"/>
    <w:rsid w:val="5D957EEE"/>
    <w:rsid w:val="5D96642A"/>
    <w:rsid w:val="5D9C179D"/>
    <w:rsid w:val="5DB0FA78"/>
    <w:rsid w:val="5DB21B8B"/>
    <w:rsid w:val="5DC60623"/>
    <w:rsid w:val="5DCC6DEE"/>
    <w:rsid w:val="5DD475DE"/>
    <w:rsid w:val="5DE1372D"/>
    <w:rsid w:val="5DEC6311"/>
    <w:rsid w:val="5E55754C"/>
    <w:rsid w:val="5E959A95"/>
    <w:rsid w:val="5EA9DA83"/>
    <w:rsid w:val="5EB36D74"/>
    <w:rsid w:val="5EE75DB9"/>
    <w:rsid w:val="5EF7D4C0"/>
    <w:rsid w:val="5F484AA8"/>
    <w:rsid w:val="5F65E09F"/>
    <w:rsid w:val="6024AA19"/>
    <w:rsid w:val="602949ED"/>
    <w:rsid w:val="605715AC"/>
    <w:rsid w:val="605D2DCE"/>
    <w:rsid w:val="607204B1"/>
    <w:rsid w:val="6077147E"/>
    <w:rsid w:val="607AB83E"/>
    <w:rsid w:val="60A1420F"/>
    <w:rsid w:val="60B22919"/>
    <w:rsid w:val="60D98E3E"/>
    <w:rsid w:val="6105BF7D"/>
    <w:rsid w:val="614C34C2"/>
    <w:rsid w:val="6181305B"/>
    <w:rsid w:val="618DB822"/>
    <w:rsid w:val="6195098D"/>
    <w:rsid w:val="6273BA88"/>
    <w:rsid w:val="6299160B"/>
    <w:rsid w:val="63102F07"/>
    <w:rsid w:val="63C0355C"/>
    <w:rsid w:val="64062BCB"/>
    <w:rsid w:val="64281939"/>
    <w:rsid w:val="644131B2"/>
    <w:rsid w:val="645440D2"/>
    <w:rsid w:val="6455EC0F"/>
    <w:rsid w:val="64B40230"/>
    <w:rsid w:val="64F59C45"/>
    <w:rsid w:val="658977F1"/>
    <w:rsid w:val="65AAE43D"/>
    <w:rsid w:val="6620F0F1"/>
    <w:rsid w:val="6628FC9E"/>
    <w:rsid w:val="6637928A"/>
    <w:rsid w:val="66648C1F"/>
    <w:rsid w:val="66859C6F"/>
    <w:rsid w:val="66B3DF80"/>
    <w:rsid w:val="6729C4C3"/>
    <w:rsid w:val="672EA53D"/>
    <w:rsid w:val="6770806A"/>
    <w:rsid w:val="67EF9F3A"/>
    <w:rsid w:val="6802BF5F"/>
    <w:rsid w:val="682BFE7F"/>
    <w:rsid w:val="687470C4"/>
    <w:rsid w:val="68B78B67"/>
    <w:rsid w:val="68C28B1E"/>
    <w:rsid w:val="692B6C3E"/>
    <w:rsid w:val="692CA61B"/>
    <w:rsid w:val="699FD379"/>
    <w:rsid w:val="69AD1F97"/>
    <w:rsid w:val="69F40B5C"/>
    <w:rsid w:val="6A0737A1"/>
    <w:rsid w:val="6A07A7C0"/>
    <w:rsid w:val="6A1D68F6"/>
    <w:rsid w:val="6A28F65E"/>
    <w:rsid w:val="6ACC36AB"/>
    <w:rsid w:val="6ACD72AC"/>
    <w:rsid w:val="6B08E578"/>
    <w:rsid w:val="6B2E3641"/>
    <w:rsid w:val="6B478754"/>
    <w:rsid w:val="6B97CE39"/>
    <w:rsid w:val="6BA61450"/>
    <w:rsid w:val="6BA8BFC1"/>
    <w:rsid w:val="6BAC4788"/>
    <w:rsid w:val="6C0001F7"/>
    <w:rsid w:val="6C10BE62"/>
    <w:rsid w:val="6C5157FC"/>
    <w:rsid w:val="6C9426ED"/>
    <w:rsid w:val="6CEC145D"/>
    <w:rsid w:val="6CECD85C"/>
    <w:rsid w:val="6DAC2B46"/>
    <w:rsid w:val="6DC6C898"/>
    <w:rsid w:val="6E962F44"/>
    <w:rsid w:val="6EB2224A"/>
    <w:rsid w:val="6EBBA9B9"/>
    <w:rsid w:val="6EE2DD0C"/>
    <w:rsid w:val="6EF995F3"/>
    <w:rsid w:val="6F2E7865"/>
    <w:rsid w:val="6F9A3D8D"/>
    <w:rsid w:val="6FAFA43A"/>
    <w:rsid w:val="7000C2D9"/>
    <w:rsid w:val="7087A61A"/>
    <w:rsid w:val="70B6C19B"/>
    <w:rsid w:val="70BDDC75"/>
    <w:rsid w:val="716F746B"/>
    <w:rsid w:val="71A1A67F"/>
    <w:rsid w:val="71D6F2F8"/>
    <w:rsid w:val="71FF3257"/>
    <w:rsid w:val="7201CED8"/>
    <w:rsid w:val="72081FD3"/>
    <w:rsid w:val="72269317"/>
    <w:rsid w:val="724A2492"/>
    <w:rsid w:val="724C6EAE"/>
    <w:rsid w:val="726FC24E"/>
    <w:rsid w:val="72CB1FD6"/>
    <w:rsid w:val="7308E318"/>
    <w:rsid w:val="730C18B2"/>
    <w:rsid w:val="73573EE7"/>
    <w:rsid w:val="73583172"/>
    <w:rsid w:val="73F140B0"/>
    <w:rsid w:val="7421D57C"/>
    <w:rsid w:val="743AED0C"/>
    <w:rsid w:val="74974681"/>
    <w:rsid w:val="74F93203"/>
    <w:rsid w:val="7550DFF2"/>
    <w:rsid w:val="758954A6"/>
    <w:rsid w:val="758D3021"/>
    <w:rsid w:val="75E83831"/>
    <w:rsid w:val="75EB8F45"/>
    <w:rsid w:val="7649BDD2"/>
    <w:rsid w:val="76684929"/>
    <w:rsid w:val="767B2A09"/>
    <w:rsid w:val="76BC264B"/>
    <w:rsid w:val="76DEF5BA"/>
    <w:rsid w:val="77261606"/>
    <w:rsid w:val="77375B20"/>
    <w:rsid w:val="779A6A9E"/>
    <w:rsid w:val="77AC21D8"/>
    <w:rsid w:val="7802D52C"/>
    <w:rsid w:val="781D3560"/>
    <w:rsid w:val="785EF201"/>
    <w:rsid w:val="78A6264B"/>
    <w:rsid w:val="78B82DAA"/>
    <w:rsid w:val="78D52F7F"/>
    <w:rsid w:val="79D5B886"/>
    <w:rsid w:val="79E268E6"/>
    <w:rsid w:val="79FB2A10"/>
    <w:rsid w:val="7A7AA0F3"/>
    <w:rsid w:val="7A95F711"/>
    <w:rsid w:val="7A9CF425"/>
    <w:rsid w:val="7AC3F0A5"/>
    <w:rsid w:val="7AF53EEC"/>
    <w:rsid w:val="7AF636EF"/>
    <w:rsid w:val="7B12CB09"/>
    <w:rsid w:val="7B224125"/>
    <w:rsid w:val="7B499887"/>
    <w:rsid w:val="7B4E665C"/>
    <w:rsid w:val="7BAB2F1F"/>
    <w:rsid w:val="7BB0E928"/>
    <w:rsid w:val="7BF51B9A"/>
    <w:rsid w:val="7C7042CA"/>
    <w:rsid w:val="7CB59EB1"/>
    <w:rsid w:val="7D13B96F"/>
    <w:rsid w:val="7E1988A2"/>
    <w:rsid w:val="7E65DD70"/>
    <w:rsid w:val="7E78F480"/>
    <w:rsid w:val="7F13498A"/>
    <w:rsid w:val="7F74A2CC"/>
    <w:rsid w:val="7F990305"/>
    <w:rsid w:val="7FCDC0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90E1"/>
  <w15:chartTrackingRefBased/>
  <w15:docId w15:val="{46498D53-03FD-47DD-B3BE-80E7A056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A8"/>
    <w:rPr>
      <w:rFonts w:eastAsiaTheme="majorEastAsia" w:cstheme="majorBidi"/>
      <w:color w:val="272727" w:themeColor="text1" w:themeTint="D8"/>
    </w:rPr>
  </w:style>
  <w:style w:type="paragraph" w:styleId="Title">
    <w:name w:val="Title"/>
    <w:basedOn w:val="Normal"/>
    <w:next w:val="Normal"/>
    <w:link w:val="TitleChar"/>
    <w:uiPriority w:val="10"/>
    <w:qFormat/>
    <w:rsid w:val="00741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A8"/>
    <w:pPr>
      <w:spacing w:before="160"/>
      <w:jc w:val="center"/>
    </w:pPr>
    <w:rPr>
      <w:i/>
      <w:iCs/>
      <w:color w:val="404040" w:themeColor="text1" w:themeTint="BF"/>
    </w:rPr>
  </w:style>
  <w:style w:type="character" w:customStyle="1" w:styleId="QuoteChar">
    <w:name w:val="Quote Char"/>
    <w:basedOn w:val="DefaultParagraphFont"/>
    <w:link w:val="Quote"/>
    <w:uiPriority w:val="29"/>
    <w:rsid w:val="007416A8"/>
    <w:rPr>
      <w:i/>
      <w:iCs/>
      <w:color w:val="404040" w:themeColor="text1" w:themeTint="BF"/>
    </w:rPr>
  </w:style>
  <w:style w:type="paragraph" w:styleId="ListParagraph">
    <w:name w:val="List Paragraph"/>
    <w:basedOn w:val="Normal"/>
    <w:uiPriority w:val="34"/>
    <w:qFormat/>
    <w:rsid w:val="007416A8"/>
    <w:pPr>
      <w:ind w:left="720"/>
      <w:contextualSpacing/>
    </w:pPr>
  </w:style>
  <w:style w:type="character" w:styleId="IntenseEmphasis">
    <w:name w:val="Intense Emphasis"/>
    <w:basedOn w:val="DefaultParagraphFont"/>
    <w:uiPriority w:val="21"/>
    <w:qFormat/>
    <w:rsid w:val="007416A8"/>
    <w:rPr>
      <w:i/>
      <w:iCs/>
      <w:color w:val="0F4761" w:themeColor="accent1" w:themeShade="BF"/>
    </w:rPr>
  </w:style>
  <w:style w:type="paragraph" w:styleId="IntenseQuote">
    <w:name w:val="Intense Quote"/>
    <w:basedOn w:val="Normal"/>
    <w:next w:val="Normal"/>
    <w:link w:val="IntenseQuoteChar"/>
    <w:uiPriority w:val="30"/>
    <w:qFormat/>
    <w:rsid w:val="00741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A8"/>
    <w:rPr>
      <w:i/>
      <w:iCs/>
      <w:color w:val="0F4761" w:themeColor="accent1" w:themeShade="BF"/>
    </w:rPr>
  </w:style>
  <w:style w:type="character" w:styleId="IntenseReference">
    <w:name w:val="Intense Reference"/>
    <w:basedOn w:val="DefaultParagraphFont"/>
    <w:uiPriority w:val="32"/>
    <w:qFormat/>
    <w:rsid w:val="007416A8"/>
    <w:rPr>
      <w:b/>
      <w:bCs/>
      <w:smallCaps/>
      <w:color w:val="0F4761" w:themeColor="accent1" w:themeShade="BF"/>
      <w:spacing w:val="5"/>
    </w:rPr>
  </w:style>
  <w:style w:type="table" w:styleId="TableGrid">
    <w:name w:val="Table Grid"/>
    <w:basedOn w:val="TableNormal"/>
    <w:uiPriority w:val="39"/>
    <w:rsid w:val="007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16A8"/>
    <w:pPr>
      <w:spacing w:after="0" w:line="240" w:lineRule="auto"/>
    </w:pPr>
  </w:style>
  <w:style w:type="character" w:customStyle="1" w:styleId="wordphrase">
    <w:name w:val="wordphrase"/>
    <w:basedOn w:val="DefaultParagraphFont"/>
    <w:rsid w:val="00067293"/>
  </w:style>
  <w:style w:type="character" w:customStyle="1" w:styleId="cite">
    <w:name w:val="cite"/>
    <w:basedOn w:val="DefaultParagraphFont"/>
    <w:rsid w:val="00067293"/>
  </w:style>
  <w:style w:type="character" w:styleId="Hyperlink">
    <w:name w:val="Hyperlink"/>
    <w:basedOn w:val="DefaultParagraphFont"/>
    <w:uiPriority w:val="99"/>
    <w:unhideWhenUsed/>
    <w:rsid w:val="00067293"/>
    <w:rPr>
      <w:color w:val="0000FF"/>
      <w:u w:val="single"/>
    </w:rPr>
  </w:style>
  <w:style w:type="character" w:styleId="UnresolvedMention">
    <w:name w:val="Unresolved Mention"/>
    <w:basedOn w:val="DefaultParagraphFont"/>
    <w:uiPriority w:val="99"/>
    <w:semiHidden/>
    <w:unhideWhenUsed/>
    <w:rsid w:val="004B1852"/>
    <w:rPr>
      <w:color w:val="605E5C"/>
      <w:shd w:val="clear" w:color="auto" w:fill="E1DFDD"/>
    </w:rPr>
  </w:style>
  <w:style w:type="paragraph" w:styleId="Header">
    <w:name w:val="header"/>
    <w:basedOn w:val="Normal"/>
    <w:link w:val="HeaderChar"/>
    <w:uiPriority w:val="99"/>
    <w:unhideWhenUsed/>
    <w:rsid w:val="004B1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852"/>
  </w:style>
  <w:style w:type="paragraph" w:styleId="Footer">
    <w:name w:val="footer"/>
    <w:basedOn w:val="Normal"/>
    <w:link w:val="FooterChar"/>
    <w:uiPriority w:val="99"/>
    <w:unhideWhenUsed/>
    <w:rsid w:val="004B1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852"/>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4157"/>
    <w:rPr>
      <w:b/>
      <w:bCs/>
    </w:rPr>
  </w:style>
  <w:style w:type="character" w:customStyle="1" w:styleId="CommentSubjectChar">
    <w:name w:val="Comment Subject Char"/>
    <w:basedOn w:val="CommentTextChar"/>
    <w:link w:val="CommentSubject"/>
    <w:uiPriority w:val="99"/>
    <w:semiHidden/>
    <w:rsid w:val="00F04157"/>
    <w:rPr>
      <w:b/>
      <w:bCs/>
      <w:sz w:val="20"/>
      <w:szCs w:val="20"/>
    </w:rPr>
  </w:style>
  <w:style w:type="character" w:styleId="FollowedHyperlink">
    <w:name w:val="FollowedHyperlink"/>
    <w:basedOn w:val="DefaultParagraphFont"/>
    <w:uiPriority w:val="99"/>
    <w:semiHidden/>
    <w:unhideWhenUsed/>
    <w:rsid w:val="003E46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4792">
      <w:bodyDiv w:val="1"/>
      <w:marLeft w:val="0"/>
      <w:marRight w:val="0"/>
      <w:marTop w:val="0"/>
      <w:marBottom w:val="0"/>
      <w:divBdr>
        <w:top w:val="none" w:sz="0" w:space="0" w:color="auto"/>
        <w:left w:val="none" w:sz="0" w:space="0" w:color="auto"/>
        <w:bottom w:val="none" w:sz="0" w:space="0" w:color="auto"/>
        <w:right w:val="none" w:sz="0" w:space="0" w:color="auto"/>
      </w:divBdr>
    </w:div>
    <w:div w:id="630089770">
      <w:bodyDiv w:val="1"/>
      <w:marLeft w:val="0"/>
      <w:marRight w:val="0"/>
      <w:marTop w:val="0"/>
      <w:marBottom w:val="0"/>
      <w:divBdr>
        <w:top w:val="none" w:sz="0" w:space="0" w:color="auto"/>
        <w:left w:val="none" w:sz="0" w:space="0" w:color="auto"/>
        <w:bottom w:val="none" w:sz="0" w:space="0" w:color="auto"/>
        <w:right w:val="none" w:sz="0" w:space="0" w:color="auto"/>
      </w:divBdr>
    </w:div>
    <w:div w:id="1460613787">
      <w:bodyDiv w:val="1"/>
      <w:marLeft w:val="0"/>
      <w:marRight w:val="0"/>
      <w:marTop w:val="0"/>
      <w:marBottom w:val="0"/>
      <w:divBdr>
        <w:top w:val="none" w:sz="0" w:space="0" w:color="auto"/>
        <w:left w:val="none" w:sz="0" w:space="0" w:color="auto"/>
        <w:bottom w:val="none" w:sz="0" w:space="0" w:color="auto"/>
        <w:right w:val="none" w:sz="0" w:space="0" w:color="auto"/>
      </w:divBdr>
    </w:div>
    <w:div w:id="176037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originatingContext=document&amp;transitionType=DocumentItem&amp;pubNum=1000213&amp;refType=LQ&amp;originatingDoc=Iae32ede0728a11ed8774f7e0d8445198&amp;cite=CAHSS25270.2" TargetMode="External"/><Relationship Id="rId13" Type="http://schemas.openxmlformats.org/officeDocument/2006/relationships/hyperlink" Target="https://govt.westlaw.com/calregs/Browse/Home/California/CaliforniaCodeofRegulations?guid=ICAC98F605B6E11EC9451000D3A7C4BC3&amp;originationContext=documenttoc&amp;transitionType=Default&amp;contextData=(sc.Defau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t.westlaw.com/calregs/Browse/Home/California/CaliforniaCodeofRegulations?guid=I09015640C1A211EFB34ED852991BCC29&amp;originationContext=documenttoc&amp;transitionType=Default&amp;contextData=(sc.Defau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sectionNum=13272.&amp;lawCode=W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nfo.legislature.ca.gov/faces/codes_displayText.xhtml?lawCode=HSC&amp;division=20.&amp;title=&amp;part=&amp;chapter=6.7.&amp;article=" TargetMode="External"/><Relationship Id="rId4" Type="http://schemas.openxmlformats.org/officeDocument/2006/relationships/settings" Target="settings.xml"/><Relationship Id="rId9" Type="http://schemas.openxmlformats.org/officeDocument/2006/relationships/hyperlink" Target="https://leginfo.legislature.ca.gov/faces/codes_displayText.xhtml?lawCode=HSC&amp;division=20.&amp;title=&amp;part=&amp;chapter=6.67.&amp;article" TargetMode="External"/><Relationship Id="rId14" Type="http://schemas.openxmlformats.org/officeDocument/2006/relationships/hyperlink" Target="https://www.ecfr.gov/current/title-40/chapter-I/subchapter-D/part-112?to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B108F-D190-4374-A698-0A60EA26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4083</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 Lewis</dc:creator>
  <cp:keywords/>
  <dc:description/>
  <cp:lastModifiedBy>Lorenzo, Jennifer@CALFIRE</cp:lastModifiedBy>
  <cp:revision>5</cp:revision>
  <dcterms:created xsi:type="dcterms:W3CDTF">2025-10-01T19:08:00Z</dcterms:created>
  <dcterms:modified xsi:type="dcterms:W3CDTF">2025-10-01T19:40:00Z</dcterms:modified>
</cp:coreProperties>
</file>