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366C" w14:textId="77777777" w:rsidR="0052105E" w:rsidRPr="009E515B" w:rsidRDefault="0052105E" w:rsidP="000F4C0B">
      <w:pPr>
        <w:spacing w:after="0" w:line="240" w:lineRule="auto"/>
        <w:jc w:val="center"/>
        <w:rPr>
          <w:rFonts w:ascii="Arial" w:hAnsi="Arial" w:cs="Arial"/>
          <w:b/>
          <w:sz w:val="24"/>
          <w:szCs w:val="24"/>
        </w:rPr>
      </w:pPr>
    </w:p>
    <w:p w14:paraId="035CD245" w14:textId="5BC67584" w:rsidR="000F4C0B" w:rsidRPr="009E515B" w:rsidRDefault="000F4C0B" w:rsidP="000F4C0B">
      <w:pPr>
        <w:spacing w:after="0" w:line="240" w:lineRule="auto"/>
        <w:jc w:val="center"/>
        <w:rPr>
          <w:rFonts w:ascii="Arial" w:hAnsi="Arial" w:cs="Arial"/>
          <w:b/>
          <w:sz w:val="24"/>
          <w:szCs w:val="24"/>
        </w:rPr>
      </w:pPr>
      <w:r w:rsidRPr="009E515B">
        <w:rPr>
          <w:rFonts w:ascii="Arial" w:hAnsi="Arial" w:cs="Arial"/>
          <w:b/>
          <w:sz w:val="24"/>
          <w:szCs w:val="24"/>
        </w:rPr>
        <w:t>CALIFORNIA CODE OF REGULATIONS, TITLE 19, DIVISION 1</w:t>
      </w:r>
    </w:p>
    <w:p w14:paraId="1AFB622F" w14:textId="77777777" w:rsidR="000F4C0B" w:rsidRPr="009E515B" w:rsidRDefault="000F4C0B" w:rsidP="000F4C0B">
      <w:pPr>
        <w:jc w:val="center"/>
        <w:rPr>
          <w:rFonts w:ascii="Arial" w:hAnsi="Arial" w:cs="Arial"/>
          <w:b/>
          <w:sz w:val="24"/>
          <w:szCs w:val="24"/>
        </w:rPr>
      </w:pPr>
      <w:r w:rsidRPr="009E515B">
        <w:rPr>
          <w:rFonts w:ascii="Arial" w:hAnsi="Arial" w:cs="Arial"/>
          <w:b/>
          <w:sz w:val="24"/>
          <w:szCs w:val="24"/>
        </w:rPr>
        <w:t>CHAPTER 15</w:t>
      </w:r>
    </w:p>
    <w:p w14:paraId="27D512E8" w14:textId="4096056C" w:rsidR="009F4BC2" w:rsidRPr="009E515B" w:rsidRDefault="000F4C0B" w:rsidP="009E515B">
      <w:pPr>
        <w:jc w:val="center"/>
        <w:rPr>
          <w:rFonts w:ascii="Arial" w:hAnsi="Arial" w:cs="Arial"/>
          <w:b/>
          <w:sz w:val="24"/>
          <w:szCs w:val="24"/>
        </w:rPr>
      </w:pPr>
      <w:r w:rsidRPr="009E515B">
        <w:rPr>
          <w:rFonts w:ascii="Arial" w:hAnsi="Arial" w:cs="Arial"/>
          <w:b/>
          <w:sz w:val="24"/>
          <w:szCs w:val="24"/>
        </w:rPr>
        <w:t>INITIAL STATEMENT OF REASONS</w:t>
      </w:r>
    </w:p>
    <w:tbl>
      <w:tblPr>
        <w:tblStyle w:val="TableGrid"/>
        <w:tblW w:w="10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3"/>
      </w:tblGrid>
      <w:tr w:rsidR="001349E3" w:rsidRPr="009E515B" w14:paraId="0E2B5C6B" w14:textId="6400FCD5" w:rsidTr="008B7FC3">
        <w:trPr>
          <w:trHeight w:val="135"/>
        </w:trPr>
        <w:tc>
          <w:tcPr>
            <w:tcW w:w="10153" w:type="dxa"/>
          </w:tcPr>
          <w:p w14:paraId="5AAFE044" w14:textId="498099F6" w:rsidR="000F4C0B" w:rsidRPr="009E515B" w:rsidRDefault="006E3B43" w:rsidP="006E3B43">
            <w:pPr>
              <w:rPr>
                <w:rFonts w:ascii="Arial" w:eastAsia="Times New Roman" w:hAnsi="Arial" w:cs="Arial"/>
                <w:b/>
                <w:sz w:val="24"/>
                <w:szCs w:val="24"/>
              </w:rPr>
            </w:pPr>
            <w:bookmarkStart w:id="0" w:name="_Hlk107394522"/>
            <w:r w:rsidRPr="009E515B">
              <w:rPr>
                <w:rFonts w:ascii="Arial" w:eastAsia="Times New Roman" w:hAnsi="Arial" w:cs="Arial"/>
                <w:b/>
                <w:sz w:val="24"/>
                <w:szCs w:val="24"/>
              </w:rPr>
              <w:t>Authority</w:t>
            </w:r>
          </w:p>
          <w:p w14:paraId="341F10F4" w14:textId="0231BF32" w:rsidR="006E3B43" w:rsidRPr="009E515B" w:rsidRDefault="006E3B43" w:rsidP="006E3B43">
            <w:pPr>
              <w:rPr>
                <w:rFonts w:ascii="Arial" w:eastAsia="Times New Roman" w:hAnsi="Arial" w:cs="Arial"/>
                <w:bCs/>
                <w:sz w:val="24"/>
                <w:szCs w:val="24"/>
              </w:rPr>
            </w:pPr>
            <w:r w:rsidRPr="009E515B">
              <w:rPr>
                <w:rFonts w:ascii="Arial" w:eastAsia="Times New Roman" w:hAnsi="Arial" w:cs="Arial"/>
                <w:bCs/>
                <w:sz w:val="24"/>
                <w:szCs w:val="24"/>
              </w:rPr>
              <w:t>Health and Safety Code Section 25</w:t>
            </w:r>
            <w:r w:rsidR="000F4C0B" w:rsidRPr="009E515B">
              <w:rPr>
                <w:rFonts w:ascii="Arial" w:eastAsia="Times New Roman" w:hAnsi="Arial" w:cs="Arial"/>
                <w:bCs/>
                <w:sz w:val="24"/>
                <w:szCs w:val="24"/>
              </w:rPr>
              <w:t>270.4.1</w:t>
            </w:r>
          </w:p>
          <w:p w14:paraId="32DCB9FF" w14:textId="58D846C0" w:rsidR="006E3B43" w:rsidRPr="009E515B" w:rsidRDefault="006E3B43" w:rsidP="006E3B43">
            <w:pPr>
              <w:rPr>
                <w:rFonts w:ascii="Arial" w:eastAsia="Times New Roman" w:hAnsi="Arial" w:cs="Arial"/>
                <w:bCs/>
                <w:sz w:val="24"/>
                <w:szCs w:val="24"/>
              </w:rPr>
            </w:pPr>
          </w:p>
          <w:p w14:paraId="7C1F08CA" w14:textId="6E3800E0" w:rsidR="006E3B43" w:rsidRPr="009E515B" w:rsidRDefault="006E3B43" w:rsidP="006E3B43">
            <w:pPr>
              <w:rPr>
                <w:rFonts w:ascii="Arial" w:eastAsia="Times New Roman" w:hAnsi="Arial" w:cs="Arial"/>
                <w:b/>
                <w:sz w:val="24"/>
                <w:szCs w:val="24"/>
              </w:rPr>
            </w:pPr>
            <w:r w:rsidRPr="009E515B">
              <w:rPr>
                <w:rFonts w:ascii="Arial" w:eastAsia="Times New Roman" w:hAnsi="Arial" w:cs="Arial"/>
                <w:b/>
                <w:sz w:val="24"/>
                <w:szCs w:val="24"/>
              </w:rPr>
              <w:t>Reference</w:t>
            </w:r>
          </w:p>
          <w:p w14:paraId="4E9D907B" w14:textId="11D3C9B7" w:rsidR="00FD4955" w:rsidRPr="009E515B" w:rsidRDefault="001830AD" w:rsidP="006E3B43">
            <w:pPr>
              <w:rPr>
                <w:rFonts w:ascii="Arial" w:eastAsia="Times New Roman" w:hAnsi="Arial" w:cs="Arial"/>
                <w:bCs/>
                <w:sz w:val="24"/>
                <w:szCs w:val="24"/>
              </w:rPr>
            </w:pPr>
            <w:r w:rsidRPr="009E515B">
              <w:rPr>
                <w:rFonts w:ascii="Arial" w:eastAsia="Times New Roman" w:hAnsi="Arial" w:cs="Arial"/>
                <w:bCs/>
                <w:sz w:val="24"/>
                <w:szCs w:val="24"/>
              </w:rPr>
              <w:t xml:space="preserve">Aboveground Petroleum Storage Act, </w:t>
            </w:r>
            <w:r w:rsidR="006E3B43" w:rsidRPr="009E515B">
              <w:rPr>
                <w:rFonts w:ascii="Arial" w:eastAsia="Times New Roman" w:hAnsi="Arial" w:cs="Arial"/>
                <w:bCs/>
                <w:sz w:val="24"/>
                <w:szCs w:val="24"/>
              </w:rPr>
              <w:t>Health and Safety Code Section</w:t>
            </w:r>
            <w:r w:rsidR="00FD4955" w:rsidRPr="009E515B">
              <w:rPr>
                <w:rFonts w:ascii="Arial" w:eastAsia="Times New Roman" w:hAnsi="Arial" w:cs="Arial"/>
                <w:bCs/>
                <w:sz w:val="24"/>
                <w:szCs w:val="24"/>
              </w:rPr>
              <w:t>s 25270.2, 25270.3, 25270.4, 25270.4.1, 25270.4.5, 25270.5, 25270.6, 25270.9, 25270.12</w:t>
            </w:r>
          </w:p>
          <w:p w14:paraId="3D8B6E02" w14:textId="77777777" w:rsidR="001830AD" w:rsidRPr="009E515B" w:rsidRDefault="001830AD" w:rsidP="006E3B43">
            <w:pPr>
              <w:rPr>
                <w:rFonts w:ascii="Arial" w:eastAsia="Times New Roman" w:hAnsi="Arial" w:cs="Arial"/>
                <w:bCs/>
                <w:sz w:val="24"/>
                <w:szCs w:val="24"/>
              </w:rPr>
            </w:pPr>
          </w:p>
          <w:p w14:paraId="33B06137" w14:textId="35E987C1" w:rsidR="001830AD" w:rsidRPr="009E515B" w:rsidRDefault="003A7B95" w:rsidP="006E3B43">
            <w:pPr>
              <w:rPr>
                <w:rFonts w:ascii="Arial" w:eastAsia="Times New Roman" w:hAnsi="Arial" w:cs="Arial"/>
                <w:bCs/>
                <w:sz w:val="24"/>
                <w:szCs w:val="24"/>
              </w:rPr>
            </w:pPr>
            <w:r w:rsidRPr="009E515B">
              <w:rPr>
                <w:rFonts w:ascii="Arial" w:eastAsia="Times New Roman" w:hAnsi="Arial" w:cs="Arial"/>
                <w:bCs/>
                <w:sz w:val="24"/>
                <w:szCs w:val="24"/>
              </w:rPr>
              <w:t xml:space="preserve">Unified Hazardous Waste and Hazardous Materials Management Regulatory Program, Health and Safety Code Section </w:t>
            </w:r>
            <w:r w:rsidR="001830AD" w:rsidRPr="009E515B">
              <w:rPr>
                <w:rFonts w:ascii="Arial" w:eastAsia="Times New Roman" w:hAnsi="Arial" w:cs="Arial"/>
                <w:bCs/>
                <w:sz w:val="24"/>
                <w:szCs w:val="24"/>
              </w:rPr>
              <w:t>2</w:t>
            </w:r>
            <w:r w:rsidRPr="009E515B">
              <w:rPr>
                <w:rFonts w:ascii="Arial" w:eastAsia="Times New Roman" w:hAnsi="Arial" w:cs="Arial"/>
                <w:bCs/>
                <w:sz w:val="24"/>
                <w:szCs w:val="24"/>
              </w:rPr>
              <w:t>54</w:t>
            </w:r>
            <w:r w:rsidR="001830AD" w:rsidRPr="009E515B">
              <w:rPr>
                <w:rFonts w:ascii="Arial" w:eastAsia="Times New Roman" w:hAnsi="Arial" w:cs="Arial"/>
                <w:bCs/>
                <w:sz w:val="24"/>
                <w:szCs w:val="24"/>
              </w:rPr>
              <w:t>04</w:t>
            </w:r>
          </w:p>
          <w:p w14:paraId="6EA4569E" w14:textId="4CC1C80C" w:rsidR="006E3B43" w:rsidRPr="009E515B" w:rsidRDefault="006E3B43" w:rsidP="006E3B43">
            <w:pPr>
              <w:rPr>
                <w:rFonts w:ascii="Arial" w:eastAsia="Times New Roman" w:hAnsi="Arial" w:cs="Arial"/>
                <w:bCs/>
                <w:sz w:val="24"/>
                <w:szCs w:val="24"/>
              </w:rPr>
            </w:pPr>
          </w:p>
          <w:p w14:paraId="41245518" w14:textId="4B2DF610" w:rsidR="006E3B43" w:rsidRPr="009E515B" w:rsidRDefault="006E3B43" w:rsidP="006E3B43">
            <w:pPr>
              <w:rPr>
                <w:rFonts w:ascii="Arial" w:eastAsia="Times New Roman" w:hAnsi="Arial" w:cs="Arial"/>
                <w:b/>
                <w:sz w:val="24"/>
                <w:szCs w:val="24"/>
              </w:rPr>
            </w:pPr>
            <w:r w:rsidRPr="009E515B">
              <w:rPr>
                <w:rFonts w:ascii="Arial" w:eastAsia="Times New Roman" w:hAnsi="Arial" w:cs="Arial"/>
                <w:b/>
                <w:sz w:val="24"/>
                <w:szCs w:val="24"/>
              </w:rPr>
              <w:t>Introduction</w:t>
            </w:r>
          </w:p>
          <w:p w14:paraId="4348E01C" w14:textId="12C49367" w:rsidR="006E3B43" w:rsidRPr="009E515B" w:rsidRDefault="006E3B43" w:rsidP="006E3B43">
            <w:pPr>
              <w:rPr>
                <w:rFonts w:ascii="Arial" w:hAnsi="Arial" w:cs="Arial"/>
                <w:sz w:val="24"/>
                <w:szCs w:val="24"/>
              </w:rPr>
            </w:pPr>
            <w:r w:rsidRPr="009E515B">
              <w:rPr>
                <w:rFonts w:ascii="Arial" w:hAnsi="Arial" w:cs="Arial"/>
                <w:sz w:val="24"/>
                <w:szCs w:val="24"/>
              </w:rPr>
              <w:t>There are approximately 17,000 aboveground storage tank facilities in the State that store a variety of petroleum oils and/or petroleum products. Aboveground petroleum storage tanks may leak and spill into the environment, causing contamination problems. Preventive steps taken by the industry and regulatory agencies can reduce the risk of leaks and spills.</w:t>
            </w:r>
          </w:p>
          <w:p w14:paraId="1DA06B3F" w14:textId="77777777" w:rsidR="006E3B43" w:rsidRPr="009E515B" w:rsidRDefault="006E3B43" w:rsidP="006E3B43">
            <w:pPr>
              <w:rPr>
                <w:rFonts w:ascii="Arial" w:eastAsia="Times New Roman" w:hAnsi="Arial" w:cs="Arial"/>
                <w:bCs/>
                <w:sz w:val="24"/>
                <w:szCs w:val="24"/>
              </w:rPr>
            </w:pPr>
          </w:p>
          <w:p w14:paraId="74822215" w14:textId="09384D47" w:rsidR="006E3B43" w:rsidRPr="009E515B" w:rsidRDefault="006E3B43" w:rsidP="006E3B43">
            <w:pPr>
              <w:rPr>
                <w:rFonts w:ascii="Arial" w:hAnsi="Arial" w:cs="Arial"/>
                <w:sz w:val="24"/>
                <w:szCs w:val="24"/>
                <w:shd w:val="clear" w:color="auto" w:fill="FFFFFF"/>
              </w:rPr>
            </w:pPr>
            <w:r w:rsidRPr="009E515B">
              <w:rPr>
                <w:rFonts w:ascii="Arial" w:hAnsi="Arial" w:cs="Arial"/>
                <w:sz w:val="24"/>
                <w:szCs w:val="24"/>
                <w:shd w:val="clear" w:color="auto" w:fill="FFFFFF"/>
              </w:rPr>
              <w:t xml:space="preserve">CAL FIRE-Office of the State Fire Marshal (OSFM) is responsible for ensuring the implementation of the Aboveground Petroleum Storage Act (APSA) program element of the Unified Program. </w:t>
            </w:r>
            <w:r w:rsidRPr="009E515B">
              <w:rPr>
                <w:rFonts w:ascii="Arial" w:hAnsi="Arial" w:cs="Arial"/>
                <w:sz w:val="24"/>
                <w:szCs w:val="24"/>
              </w:rPr>
              <w:t xml:space="preserve">The APSA provides technical and enforcement guidance for aboveground petroleum storage to reduce the risk of leaks and spills. </w:t>
            </w:r>
          </w:p>
          <w:p w14:paraId="7B405DCA" w14:textId="6F5B012C" w:rsidR="006E3B43" w:rsidRPr="009E515B" w:rsidRDefault="006E3B43" w:rsidP="006E3B43">
            <w:pPr>
              <w:rPr>
                <w:rFonts w:ascii="Arial" w:eastAsia="Times New Roman" w:hAnsi="Arial" w:cs="Arial"/>
                <w:bCs/>
                <w:sz w:val="24"/>
                <w:szCs w:val="24"/>
              </w:rPr>
            </w:pPr>
          </w:p>
          <w:p w14:paraId="0ABB49B3" w14:textId="48D1D33B" w:rsidR="006E3B43" w:rsidRPr="009E515B" w:rsidRDefault="003A7B95" w:rsidP="006E3B43">
            <w:pPr>
              <w:rPr>
                <w:rFonts w:ascii="Arial" w:hAnsi="Arial" w:cs="Arial"/>
                <w:sz w:val="24"/>
                <w:szCs w:val="24"/>
              </w:rPr>
            </w:pPr>
            <w:r w:rsidRPr="009E515B">
              <w:rPr>
                <w:rFonts w:ascii="Arial" w:hAnsi="Arial" w:cs="Arial"/>
                <w:sz w:val="24"/>
                <w:szCs w:val="24"/>
              </w:rPr>
              <w:t>Each proposed regulation supports the implementation of one or more of the OSFM’s statutory responsibilities, as related to APSA. The full text of these responsibilities is found in Health and Safety Code Section 25270.4.1 and summarized below.</w:t>
            </w:r>
          </w:p>
          <w:p w14:paraId="5AFB09FB" w14:textId="77777777" w:rsidR="006E3B43" w:rsidRPr="009E515B" w:rsidRDefault="006E3B43" w:rsidP="006E3B43">
            <w:pPr>
              <w:rPr>
                <w:rFonts w:ascii="Arial" w:hAnsi="Arial" w:cs="Arial"/>
                <w:sz w:val="24"/>
                <w:szCs w:val="24"/>
              </w:rPr>
            </w:pPr>
          </w:p>
          <w:p w14:paraId="1259E66F" w14:textId="7C406932" w:rsidR="006E3B43" w:rsidRPr="009E515B" w:rsidRDefault="006E3B43" w:rsidP="006E3B43">
            <w:pPr>
              <w:rPr>
                <w:rFonts w:ascii="Arial" w:hAnsi="Arial" w:cs="Arial"/>
                <w:sz w:val="24"/>
                <w:szCs w:val="24"/>
              </w:rPr>
            </w:pPr>
            <w:r w:rsidRPr="009E515B">
              <w:rPr>
                <w:rFonts w:ascii="Arial" w:hAnsi="Arial" w:cs="Arial"/>
                <w:sz w:val="24"/>
                <w:szCs w:val="24"/>
              </w:rPr>
              <w:t xml:space="preserve">1. Adopt regulations implementing </w:t>
            </w:r>
            <w:r w:rsidR="003A7B95" w:rsidRPr="009E515B">
              <w:rPr>
                <w:rFonts w:ascii="Arial" w:hAnsi="Arial" w:cs="Arial"/>
                <w:sz w:val="24"/>
                <w:szCs w:val="24"/>
              </w:rPr>
              <w:t>APSA</w:t>
            </w:r>
          </w:p>
          <w:p w14:paraId="1DE9E274" w14:textId="77777777" w:rsidR="006E3B43" w:rsidRPr="009E515B" w:rsidRDefault="006E3B43" w:rsidP="006E3B43">
            <w:pPr>
              <w:rPr>
                <w:rFonts w:ascii="Arial" w:hAnsi="Arial" w:cs="Arial"/>
                <w:sz w:val="24"/>
                <w:szCs w:val="24"/>
              </w:rPr>
            </w:pPr>
            <w:r w:rsidRPr="009E515B">
              <w:rPr>
                <w:rFonts w:ascii="Arial" w:hAnsi="Arial" w:cs="Arial"/>
                <w:sz w:val="24"/>
                <w:szCs w:val="24"/>
              </w:rPr>
              <w:t xml:space="preserve">2. Provide interpretation of the APSA statutes to local Unified Program Agency enforcement entities.  </w:t>
            </w:r>
          </w:p>
          <w:p w14:paraId="30A14379" w14:textId="77777777" w:rsidR="006E3B43" w:rsidRPr="009E515B" w:rsidRDefault="006E3B43" w:rsidP="006E3B43">
            <w:pPr>
              <w:rPr>
                <w:rFonts w:ascii="Arial" w:hAnsi="Arial" w:cs="Arial"/>
                <w:sz w:val="24"/>
                <w:szCs w:val="24"/>
              </w:rPr>
            </w:pPr>
            <w:r w:rsidRPr="009E515B">
              <w:rPr>
                <w:rFonts w:ascii="Arial" w:hAnsi="Arial" w:cs="Arial"/>
                <w:sz w:val="24"/>
                <w:szCs w:val="24"/>
              </w:rPr>
              <w:t xml:space="preserve">3. Oversee the implementation of the APSA requirements by local Unified Program Agency enforcement entities. </w:t>
            </w:r>
          </w:p>
          <w:p w14:paraId="35A64FCD" w14:textId="77777777" w:rsidR="006E3B43" w:rsidRPr="009E515B" w:rsidRDefault="006E3B43" w:rsidP="006E3B43">
            <w:pPr>
              <w:rPr>
                <w:rFonts w:ascii="Arial" w:hAnsi="Arial" w:cs="Arial"/>
                <w:sz w:val="24"/>
                <w:szCs w:val="24"/>
              </w:rPr>
            </w:pPr>
            <w:r w:rsidRPr="009E515B">
              <w:rPr>
                <w:rFonts w:ascii="Arial" w:hAnsi="Arial" w:cs="Arial"/>
                <w:sz w:val="24"/>
                <w:szCs w:val="24"/>
              </w:rPr>
              <w:t>4. Provide training for local Unified Program Agency enforcement entities.</w:t>
            </w:r>
          </w:p>
          <w:p w14:paraId="485032F4" w14:textId="77777777" w:rsidR="006E3B43" w:rsidRPr="009E515B" w:rsidRDefault="006E3B43" w:rsidP="006E3B43">
            <w:pPr>
              <w:rPr>
                <w:rFonts w:ascii="Arial" w:hAnsi="Arial" w:cs="Arial"/>
                <w:sz w:val="24"/>
                <w:szCs w:val="24"/>
              </w:rPr>
            </w:pPr>
            <w:r w:rsidRPr="009E515B">
              <w:rPr>
                <w:rFonts w:ascii="Arial" w:hAnsi="Arial" w:cs="Arial"/>
                <w:sz w:val="24"/>
                <w:szCs w:val="24"/>
              </w:rPr>
              <w:t xml:space="preserve">5. To the maximum extent feasible, ensure consistency with state law and federal enforcement guidance. </w:t>
            </w:r>
          </w:p>
          <w:p w14:paraId="47BF9F6B" w14:textId="77777777" w:rsidR="006E3B43" w:rsidRPr="009E515B" w:rsidRDefault="006E3B43" w:rsidP="006E3B43">
            <w:pPr>
              <w:rPr>
                <w:rFonts w:ascii="Arial" w:hAnsi="Arial" w:cs="Arial"/>
                <w:sz w:val="24"/>
                <w:szCs w:val="24"/>
              </w:rPr>
            </w:pPr>
            <w:r w:rsidRPr="009E515B">
              <w:rPr>
                <w:rFonts w:ascii="Arial" w:hAnsi="Arial" w:cs="Arial"/>
                <w:sz w:val="24"/>
                <w:szCs w:val="24"/>
              </w:rPr>
              <w:t>6. Support the local Unified Program Agency enforcement entities in providing outreach to regulated persons in relation to regulations relevant to OSFM’s responsibilities under the APSA program.</w:t>
            </w:r>
          </w:p>
          <w:p w14:paraId="1D53B17A" w14:textId="77777777" w:rsidR="006E3B43" w:rsidRPr="009E515B" w:rsidRDefault="006E3B43" w:rsidP="006E3B43">
            <w:pPr>
              <w:rPr>
                <w:rFonts w:ascii="Arial" w:hAnsi="Arial" w:cs="Arial"/>
                <w:sz w:val="24"/>
                <w:szCs w:val="24"/>
              </w:rPr>
            </w:pPr>
            <w:r w:rsidRPr="009E515B">
              <w:rPr>
                <w:rFonts w:ascii="Arial" w:hAnsi="Arial" w:cs="Arial"/>
                <w:sz w:val="24"/>
                <w:szCs w:val="24"/>
              </w:rPr>
              <w:t xml:space="preserve">7. Develop more stringent requirements, as needed to implement the safety requirements of the APSA. </w:t>
            </w:r>
          </w:p>
          <w:p w14:paraId="5858D767" w14:textId="77777777" w:rsidR="006E3B43" w:rsidRPr="009E515B" w:rsidRDefault="006E3B43" w:rsidP="006E3B43">
            <w:pPr>
              <w:rPr>
                <w:rFonts w:ascii="Arial" w:hAnsi="Arial" w:cs="Arial"/>
                <w:sz w:val="24"/>
                <w:szCs w:val="24"/>
              </w:rPr>
            </w:pPr>
          </w:p>
          <w:p w14:paraId="0D91F547" w14:textId="4A751A84" w:rsidR="006E3B43" w:rsidRPr="009E515B" w:rsidRDefault="006E3B43" w:rsidP="006E3B43">
            <w:pPr>
              <w:rPr>
                <w:rFonts w:ascii="Arial" w:eastAsia="Times New Roman" w:hAnsi="Arial" w:cs="Arial"/>
                <w:bCs/>
                <w:sz w:val="24"/>
                <w:szCs w:val="24"/>
              </w:rPr>
            </w:pPr>
            <w:r w:rsidRPr="009E515B">
              <w:rPr>
                <w:rFonts w:ascii="Arial" w:eastAsia="Times New Roman" w:hAnsi="Arial" w:cs="Arial"/>
                <w:bCs/>
                <w:sz w:val="24"/>
                <w:szCs w:val="24"/>
              </w:rPr>
              <w:t xml:space="preserve">Examples of preventative measures include: local Unified Program Agency (UPA) review of annual tank facility statements, review of Spill Prevention Control and Countermeasure </w:t>
            </w:r>
            <w:r w:rsidRPr="009E515B">
              <w:rPr>
                <w:rFonts w:ascii="Arial" w:eastAsia="Times New Roman" w:hAnsi="Arial" w:cs="Arial"/>
                <w:bCs/>
                <w:sz w:val="24"/>
                <w:szCs w:val="24"/>
              </w:rPr>
              <w:lastRenderedPageBreak/>
              <w:t xml:space="preserve">(SPCC) plans prepared by the tank owner/operator, and inspections of aboveground storage tanks at tank facilities covered by the Act to determine whether the SPCC plan was prepared and is being implemented. </w:t>
            </w:r>
          </w:p>
          <w:p w14:paraId="50C76C48" w14:textId="77777777" w:rsidR="006E3B43" w:rsidRPr="009E515B" w:rsidRDefault="006E3B43" w:rsidP="006E3B43">
            <w:pPr>
              <w:rPr>
                <w:rFonts w:ascii="Arial" w:eastAsia="Times New Roman" w:hAnsi="Arial" w:cs="Arial"/>
                <w:bCs/>
                <w:sz w:val="24"/>
                <w:szCs w:val="24"/>
              </w:rPr>
            </w:pPr>
          </w:p>
          <w:p w14:paraId="017A30FD" w14:textId="1DDF81A4" w:rsidR="006E3B43" w:rsidRPr="009E515B" w:rsidRDefault="006E3B43" w:rsidP="006E3B43">
            <w:pPr>
              <w:rPr>
                <w:rFonts w:ascii="Arial" w:hAnsi="Arial" w:cs="Arial"/>
                <w:sz w:val="24"/>
                <w:szCs w:val="24"/>
              </w:rPr>
            </w:pPr>
            <w:r w:rsidRPr="009E515B">
              <w:rPr>
                <w:rFonts w:ascii="Arial" w:hAnsi="Arial" w:cs="Arial"/>
                <w:sz w:val="24"/>
                <w:szCs w:val="24"/>
              </w:rPr>
              <w:t xml:space="preserve">The Aboveground Petroleum Storage Act is one program within the Unified Program, a multi agency state program which is overseen by the Secretary of Environmental Protection. The Unified Program protects Californians from hazardous waste and hazardous materials by ensuring local regulatory agencies consistently apply statewide standards when they issue permits, conduct inspections and engage in enforcement activities. </w:t>
            </w:r>
          </w:p>
        </w:tc>
      </w:tr>
      <w:tr w:rsidR="001349E3" w:rsidRPr="009E515B" w14:paraId="0F4FF1D7" w14:textId="6396756F" w:rsidTr="008B7FC3">
        <w:trPr>
          <w:trHeight w:val="135"/>
        </w:trPr>
        <w:tc>
          <w:tcPr>
            <w:tcW w:w="10153" w:type="dxa"/>
          </w:tcPr>
          <w:p w14:paraId="274B3954" w14:textId="77777777" w:rsidR="006E3B43" w:rsidRPr="009E515B" w:rsidRDefault="006E3B43" w:rsidP="006E3B43">
            <w:pPr>
              <w:rPr>
                <w:rFonts w:ascii="Arial" w:eastAsia="Times New Roman" w:hAnsi="Arial" w:cs="Arial"/>
                <w:b/>
                <w:sz w:val="24"/>
                <w:szCs w:val="24"/>
              </w:rPr>
            </w:pPr>
          </w:p>
          <w:p w14:paraId="5D2D1B83" w14:textId="1DAA3F4D" w:rsidR="006E3B43" w:rsidRPr="009E515B" w:rsidRDefault="006E3B43" w:rsidP="006E3B43">
            <w:pPr>
              <w:rPr>
                <w:rFonts w:ascii="Arial" w:hAnsi="Arial" w:cs="Arial"/>
                <w:b/>
                <w:bCs/>
                <w:sz w:val="24"/>
                <w:szCs w:val="24"/>
              </w:rPr>
            </w:pPr>
            <w:r w:rsidRPr="009E515B">
              <w:rPr>
                <w:rFonts w:ascii="Arial" w:hAnsi="Arial" w:cs="Arial"/>
                <w:b/>
                <w:bCs/>
                <w:sz w:val="24"/>
                <w:szCs w:val="24"/>
              </w:rPr>
              <w:t>Problem</w:t>
            </w:r>
          </w:p>
          <w:p w14:paraId="46B542F7" w14:textId="622F8BC8" w:rsidR="00541394" w:rsidRPr="009E515B" w:rsidRDefault="006E3B43" w:rsidP="00541394">
            <w:pPr>
              <w:rPr>
                <w:rFonts w:ascii="Arial" w:hAnsi="Arial" w:cs="Arial"/>
                <w:sz w:val="24"/>
                <w:szCs w:val="24"/>
              </w:rPr>
            </w:pPr>
            <w:r w:rsidRPr="009E515B">
              <w:rPr>
                <w:rFonts w:ascii="Arial" w:hAnsi="Arial" w:cs="Arial"/>
                <w:sz w:val="24"/>
                <w:szCs w:val="24"/>
              </w:rPr>
              <w:t xml:space="preserve">The OSFM is charged with providing statewide oversight and support for the Aboveground Petroleum Storage Act. </w:t>
            </w:r>
            <w:r w:rsidR="00541394" w:rsidRPr="009E515B">
              <w:rPr>
                <w:rFonts w:ascii="Arial" w:hAnsi="Arial" w:cs="Arial"/>
                <w:sz w:val="24"/>
                <w:szCs w:val="24"/>
              </w:rPr>
              <w:t>There is substantial evidence that statewide guidance is required to fully implement the APSA program and effectuate APSA’s public safety purpose.</w:t>
            </w:r>
          </w:p>
          <w:p w14:paraId="302259DA" w14:textId="77777777" w:rsidR="00541394" w:rsidRPr="009E515B" w:rsidRDefault="00541394" w:rsidP="006E3B43">
            <w:pPr>
              <w:rPr>
                <w:rFonts w:ascii="Arial" w:hAnsi="Arial" w:cs="Arial"/>
                <w:sz w:val="24"/>
                <w:szCs w:val="24"/>
              </w:rPr>
            </w:pPr>
          </w:p>
          <w:p w14:paraId="54D398C9" w14:textId="4F69FD2C" w:rsidR="00541394" w:rsidRPr="009E515B" w:rsidRDefault="006E3B43" w:rsidP="006E3B43">
            <w:pPr>
              <w:rPr>
                <w:rFonts w:ascii="Arial" w:eastAsia="Times New Roman" w:hAnsi="Arial" w:cs="Arial"/>
                <w:bCs/>
                <w:sz w:val="24"/>
                <w:szCs w:val="24"/>
              </w:rPr>
            </w:pPr>
            <w:r w:rsidRPr="009E515B">
              <w:rPr>
                <w:rFonts w:ascii="Arial" w:hAnsi="Arial" w:cs="Arial"/>
                <w:sz w:val="24"/>
                <w:szCs w:val="24"/>
              </w:rPr>
              <w:t xml:space="preserve">In alignment with the OSFM’s specific responsibilities as detailed in Health and Safety Code Section 25270.4.1, the purpose of these regulations is to provide a clear source of technical guidance and distinguish each stakeholder’s responsibilities under APSA. </w:t>
            </w:r>
            <w:r w:rsidR="003A7B95" w:rsidRPr="009E515B">
              <w:rPr>
                <w:rFonts w:ascii="Arial" w:hAnsi="Arial" w:cs="Arial"/>
                <w:sz w:val="24"/>
                <w:szCs w:val="24"/>
              </w:rPr>
              <w:t>Local Unified Program Agencies</w:t>
            </w:r>
            <w:r w:rsidR="00541394" w:rsidRPr="009E515B">
              <w:rPr>
                <w:rFonts w:ascii="Arial" w:hAnsi="Arial" w:cs="Arial"/>
                <w:sz w:val="24"/>
                <w:szCs w:val="24"/>
              </w:rPr>
              <w:t xml:space="preserve"> (UPA)</w:t>
            </w:r>
            <w:r w:rsidR="003A7B95" w:rsidRPr="009E515B">
              <w:rPr>
                <w:rFonts w:ascii="Arial" w:hAnsi="Arial" w:cs="Arial"/>
                <w:sz w:val="24"/>
                <w:szCs w:val="24"/>
              </w:rPr>
              <w:t xml:space="preserve"> are responsible for enforcement activities</w:t>
            </w:r>
            <w:r w:rsidR="00541394" w:rsidRPr="009E515B">
              <w:rPr>
                <w:rFonts w:ascii="Arial" w:hAnsi="Arial" w:cs="Arial"/>
                <w:sz w:val="24"/>
                <w:szCs w:val="24"/>
              </w:rPr>
              <w:t>,</w:t>
            </w:r>
            <w:r w:rsidR="003A7B95" w:rsidRPr="009E515B">
              <w:rPr>
                <w:rFonts w:ascii="Arial" w:hAnsi="Arial" w:cs="Arial"/>
                <w:sz w:val="24"/>
                <w:szCs w:val="24"/>
              </w:rPr>
              <w:t xml:space="preserve"> </w:t>
            </w:r>
            <w:r w:rsidR="00541394" w:rsidRPr="009E515B">
              <w:rPr>
                <w:rFonts w:ascii="Arial" w:eastAsia="Times New Roman" w:hAnsi="Arial" w:cs="Arial"/>
                <w:bCs/>
                <w:sz w:val="24"/>
                <w:szCs w:val="24"/>
              </w:rPr>
              <w:t>t</w:t>
            </w:r>
            <w:r w:rsidRPr="009E515B">
              <w:rPr>
                <w:rFonts w:ascii="Arial" w:eastAsia="Times New Roman" w:hAnsi="Arial" w:cs="Arial"/>
                <w:bCs/>
                <w:sz w:val="24"/>
                <w:szCs w:val="24"/>
              </w:rPr>
              <w:t xml:space="preserve">here is no state or federal approval of SPCC plans. </w:t>
            </w:r>
          </w:p>
          <w:p w14:paraId="71404CDA" w14:textId="77777777" w:rsidR="00541394" w:rsidRPr="009E515B" w:rsidRDefault="00541394" w:rsidP="006E3B43">
            <w:pPr>
              <w:rPr>
                <w:rFonts w:ascii="Arial" w:hAnsi="Arial" w:cs="Arial"/>
                <w:sz w:val="24"/>
                <w:szCs w:val="24"/>
              </w:rPr>
            </w:pPr>
          </w:p>
          <w:p w14:paraId="2C9712E0" w14:textId="74A06A29" w:rsidR="006E3B43" w:rsidRPr="009E515B" w:rsidRDefault="006E3B43" w:rsidP="006E3B43">
            <w:pPr>
              <w:rPr>
                <w:rFonts w:ascii="Arial" w:hAnsi="Arial" w:cs="Arial"/>
                <w:sz w:val="24"/>
                <w:szCs w:val="24"/>
              </w:rPr>
            </w:pPr>
            <w:r w:rsidRPr="009E515B">
              <w:rPr>
                <w:rFonts w:ascii="Arial" w:hAnsi="Arial" w:cs="Arial"/>
                <w:sz w:val="24"/>
                <w:szCs w:val="24"/>
              </w:rPr>
              <w:t xml:space="preserve">Because petroleum is a complex policy issue, the law is also very complex and detailed. These regulations coordinate and highlight the state and federal laws for the regulated community, industry stakeholders, and local UPA enforcement entities. This is to provide an efficient enforcement and compliance tool for the directly affected public of the APSA program. </w:t>
            </w:r>
            <w:r w:rsidR="00541394" w:rsidRPr="009E515B">
              <w:rPr>
                <w:rFonts w:ascii="Arial" w:eastAsia="Times New Roman" w:hAnsi="Arial" w:cs="Arial"/>
                <w:bCs/>
                <w:sz w:val="24"/>
                <w:szCs w:val="24"/>
              </w:rPr>
              <w:t xml:space="preserve">Federal regulations also include explicit authority for state enforcement to include more stringent requirements </w:t>
            </w:r>
            <w:proofErr w:type="gramStart"/>
            <w:r w:rsidR="00541394" w:rsidRPr="009E515B">
              <w:rPr>
                <w:rFonts w:ascii="Arial" w:eastAsia="Times New Roman" w:hAnsi="Arial" w:cs="Arial"/>
                <w:bCs/>
                <w:sz w:val="24"/>
                <w:szCs w:val="24"/>
              </w:rPr>
              <w:t>in order to</w:t>
            </w:r>
            <w:proofErr w:type="gramEnd"/>
            <w:r w:rsidR="00541394" w:rsidRPr="009E515B">
              <w:rPr>
                <w:rFonts w:ascii="Arial" w:eastAsia="Times New Roman" w:hAnsi="Arial" w:cs="Arial"/>
                <w:bCs/>
                <w:sz w:val="24"/>
                <w:szCs w:val="24"/>
              </w:rPr>
              <w:t xml:space="preserve"> meet the public safety purpose. </w:t>
            </w:r>
            <w:r w:rsidRPr="009E515B">
              <w:rPr>
                <w:rFonts w:ascii="Arial" w:hAnsi="Arial" w:cs="Arial"/>
                <w:sz w:val="24"/>
                <w:szCs w:val="24"/>
              </w:rPr>
              <w:t xml:space="preserve">More stringent technical requirements, as needed for public safety and in alignment with State law, are also included and justified. </w:t>
            </w:r>
          </w:p>
        </w:tc>
      </w:tr>
      <w:tr w:rsidR="001349E3" w:rsidRPr="009E515B" w14:paraId="5B17A0FD" w14:textId="69C776FB" w:rsidTr="008B7FC3">
        <w:trPr>
          <w:trHeight w:val="135"/>
        </w:trPr>
        <w:tc>
          <w:tcPr>
            <w:tcW w:w="10153" w:type="dxa"/>
          </w:tcPr>
          <w:p w14:paraId="043E3501" w14:textId="23E2948F" w:rsidR="006E3B43" w:rsidRPr="009E515B" w:rsidRDefault="006E3B43" w:rsidP="006E3B43">
            <w:pPr>
              <w:rPr>
                <w:rFonts w:ascii="Arial" w:eastAsia="Times New Roman" w:hAnsi="Arial" w:cs="Arial"/>
                <w:b/>
                <w:sz w:val="24"/>
                <w:szCs w:val="24"/>
              </w:rPr>
            </w:pPr>
          </w:p>
          <w:p w14:paraId="0D7D741C" w14:textId="551267BF" w:rsidR="006E3B43" w:rsidRPr="009E515B" w:rsidRDefault="006E3B43" w:rsidP="006E3B43">
            <w:pPr>
              <w:rPr>
                <w:rFonts w:ascii="Arial" w:eastAsia="Times New Roman" w:hAnsi="Arial" w:cs="Arial"/>
                <w:b/>
                <w:sz w:val="24"/>
                <w:szCs w:val="24"/>
              </w:rPr>
            </w:pPr>
            <w:r w:rsidRPr="009E515B">
              <w:rPr>
                <w:rFonts w:ascii="Arial" w:eastAsia="Times New Roman" w:hAnsi="Arial" w:cs="Arial"/>
                <w:b/>
                <w:sz w:val="24"/>
                <w:szCs w:val="24"/>
              </w:rPr>
              <w:t>Problem, Purpose, Rationale</w:t>
            </w:r>
          </w:p>
          <w:p w14:paraId="37558AE9" w14:textId="44971792" w:rsidR="006E3B43" w:rsidRPr="009E515B" w:rsidRDefault="006E3B43" w:rsidP="006E3B43">
            <w:pPr>
              <w:rPr>
                <w:rFonts w:ascii="Arial" w:hAnsi="Arial" w:cs="Arial"/>
                <w:sz w:val="24"/>
                <w:szCs w:val="24"/>
              </w:rPr>
            </w:pPr>
            <w:r w:rsidRPr="009E515B">
              <w:rPr>
                <w:rFonts w:ascii="Arial" w:hAnsi="Arial" w:cs="Arial"/>
                <w:sz w:val="24"/>
                <w:szCs w:val="24"/>
              </w:rPr>
              <w:t xml:space="preserve">While preventive steps taken by the directly affected public can reduce the risk of leaks and spills, these efforts also require state support and jurisdictional authorities. These regulations are aligned with legal requirements including jurisdictional authorities. </w:t>
            </w:r>
          </w:p>
          <w:p w14:paraId="227A4AC3" w14:textId="44FB645E" w:rsidR="006E3B43" w:rsidRPr="009E515B" w:rsidRDefault="006E3B43" w:rsidP="006E3B43">
            <w:pPr>
              <w:rPr>
                <w:rFonts w:ascii="Arial" w:eastAsia="Times New Roman" w:hAnsi="Arial" w:cs="Arial"/>
                <w:b/>
                <w:sz w:val="24"/>
                <w:szCs w:val="24"/>
              </w:rPr>
            </w:pPr>
          </w:p>
          <w:p w14:paraId="7B4633BA" w14:textId="3144F552" w:rsidR="006E3B43" w:rsidRPr="009E515B" w:rsidRDefault="006E3B43" w:rsidP="006E3B43">
            <w:pPr>
              <w:rPr>
                <w:rFonts w:ascii="Arial" w:hAnsi="Arial" w:cs="Arial"/>
                <w:sz w:val="24"/>
                <w:szCs w:val="24"/>
              </w:rPr>
            </w:pPr>
            <w:r w:rsidRPr="009E515B">
              <w:rPr>
                <w:rFonts w:ascii="Arial" w:hAnsi="Arial" w:cs="Arial"/>
                <w:sz w:val="24"/>
                <w:szCs w:val="24"/>
              </w:rPr>
              <w:t>Each proposed regulation supports the implementation of one or more of the OSFM’s statutory responsibilities, as related to APSA.</w:t>
            </w:r>
          </w:p>
          <w:p w14:paraId="4720BBA3" w14:textId="77777777" w:rsidR="006E3B43" w:rsidRPr="009E515B" w:rsidRDefault="006E3B43" w:rsidP="006E3B43">
            <w:pPr>
              <w:rPr>
                <w:rFonts w:ascii="Arial" w:eastAsia="Times New Roman" w:hAnsi="Arial" w:cs="Arial"/>
                <w:b/>
                <w:sz w:val="24"/>
                <w:szCs w:val="24"/>
              </w:rPr>
            </w:pPr>
          </w:p>
          <w:p w14:paraId="4DCB2558" w14:textId="77777777" w:rsidR="006E3B43" w:rsidRPr="009E515B" w:rsidRDefault="006E3B43" w:rsidP="006E3B43">
            <w:pPr>
              <w:rPr>
                <w:rFonts w:ascii="Arial" w:hAnsi="Arial" w:cs="Arial"/>
                <w:sz w:val="24"/>
                <w:szCs w:val="24"/>
              </w:rPr>
            </w:pPr>
            <w:r w:rsidRPr="009E515B">
              <w:rPr>
                <w:rFonts w:ascii="Arial" w:hAnsi="Arial" w:cs="Arial"/>
                <w:sz w:val="24"/>
                <w:szCs w:val="24"/>
              </w:rPr>
              <w:t>1. Adopt regulations implementing the Aboveground Petroleum Storage Act (Sections 25270 through 25270.13) (APSA)</w:t>
            </w:r>
          </w:p>
          <w:p w14:paraId="0564859A" w14:textId="77777777" w:rsidR="006E3B43" w:rsidRPr="009E515B" w:rsidRDefault="006E3B43" w:rsidP="006E3B43">
            <w:pPr>
              <w:rPr>
                <w:rFonts w:ascii="Arial" w:hAnsi="Arial" w:cs="Arial"/>
                <w:sz w:val="24"/>
                <w:szCs w:val="24"/>
              </w:rPr>
            </w:pPr>
            <w:r w:rsidRPr="009E515B">
              <w:rPr>
                <w:rFonts w:ascii="Arial" w:hAnsi="Arial" w:cs="Arial"/>
                <w:sz w:val="24"/>
                <w:szCs w:val="24"/>
              </w:rPr>
              <w:t xml:space="preserve">2. Provide interpretation of the APSA statutes to local Unified Program Agency enforcement entities.  </w:t>
            </w:r>
          </w:p>
          <w:p w14:paraId="7C66163F" w14:textId="77777777" w:rsidR="006E3B43" w:rsidRPr="009E515B" w:rsidRDefault="006E3B43" w:rsidP="006E3B43">
            <w:pPr>
              <w:rPr>
                <w:rFonts w:ascii="Arial" w:hAnsi="Arial" w:cs="Arial"/>
                <w:sz w:val="24"/>
                <w:szCs w:val="24"/>
              </w:rPr>
            </w:pPr>
            <w:r w:rsidRPr="009E515B">
              <w:rPr>
                <w:rFonts w:ascii="Arial" w:hAnsi="Arial" w:cs="Arial"/>
                <w:sz w:val="24"/>
                <w:szCs w:val="24"/>
              </w:rPr>
              <w:t xml:space="preserve">3. Oversee the implementation of the APSA requirements by local Unified Program Agency enforcement entities. </w:t>
            </w:r>
          </w:p>
          <w:p w14:paraId="73705CA7" w14:textId="77777777" w:rsidR="006E3B43" w:rsidRPr="009E515B" w:rsidRDefault="006E3B43" w:rsidP="006E3B43">
            <w:pPr>
              <w:rPr>
                <w:rFonts w:ascii="Arial" w:hAnsi="Arial" w:cs="Arial"/>
                <w:sz w:val="24"/>
                <w:szCs w:val="24"/>
              </w:rPr>
            </w:pPr>
            <w:r w:rsidRPr="009E515B">
              <w:rPr>
                <w:rFonts w:ascii="Arial" w:hAnsi="Arial" w:cs="Arial"/>
                <w:sz w:val="24"/>
                <w:szCs w:val="24"/>
              </w:rPr>
              <w:t>4. Provide training for local Unified Program Agency enforcement entities.</w:t>
            </w:r>
          </w:p>
          <w:p w14:paraId="389F76EB" w14:textId="77777777" w:rsidR="006E3B43" w:rsidRPr="009E515B" w:rsidRDefault="006E3B43" w:rsidP="006E3B43">
            <w:pPr>
              <w:rPr>
                <w:rFonts w:ascii="Arial" w:hAnsi="Arial" w:cs="Arial"/>
                <w:sz w:val="24"/>
                <w:szCs w:val="24"/>
              </w:rPr>
            </w:pPr>
            <w:r w:rsidRPr="009E515B">
              <w:rPr>
                <w:rFonts w:ascii="Arial" w:hAnsi="Arial" w:cs="Arial"/>
                <w:sz w:val="24"/>
                <w:szCs w:val="24"/>
              </w:rPr>
              <w:lastRenderedPageBreak/>
              <w:t xml:space="preserve">5. To the maximum extent feasible, ensure consistency with state law and federal enforcement guidance. </w:t>
            </w:r>
          </w:p>
          <w:p w14:paraId="58A1DFC6" w14:textId="77777777" w:rsidR="006E3B43" w:rsidRPr="009E515B" w:rsidRDefault="006E3B43" w:rsidP="006E3B43">
            <w:pPr>
              <w:rPr>
                <w:rFonts w:ascii="Arial" w:hAnsi="Arial" w:cs="Arial"/>
                <w:sz w:val="24"/>
                <w:szCs w:val="24"/>
              </w:rPr>
            </w:pPr>
            <w:r w:rsidRPr="009E515B">
              <w:rPr>
                <w:rFonts w:ascii="Arial" w:hAnsi="Arial" w:cs="Arial"/>
                <w:sz w:val="24"/>
                <w:szCs w:val="24"/>
              </w:rPr>
              <w:t>6. Support the local Unified Program Agency enforcement entities in providing outreach to regulated persons in relation to regulations relevant to OSFM’s responsibilities under the APSA program.</w:t>
            </w:r>
          </w:p>
          <w:p w14:paraId="54797628" w14:textId="551296EE" w:rsidR="006E3B43" w:rsidRPr="009E515B" w:rsidRDefault="006E3B43" w:rsidP="006E3B43">
            <w:pPr>
              <w:rPr>
                <w:rFonts w:ascii="Arial" w:eastAsia="Times New Roman" w:hAnsi="Arial" w:cs="Arial"/>
                <w:b/>
                <w:sz w:val="24"/>
                <w:szCs w:val="24"/>
              </w:rPr>
            </w:pPr>
            <w:r w:rsidRPr="009E515B">
              <w:rPr>
                <w:rFonts w:ascii="Arial" w:hAnsi="Arial" w:cs="Arial"/>
                <w:sz w:val="24"/>
                <w:szCs w:val="24"/>
              </w:rPr>
              <w:t>7. Develop more stringent requirements, as needed to implement the safety requirements of the APSA</w:t>
            </w:r>
          </w:p>
        </w:tc>
      </w:tr>
      <w:tr w:rsidR="001349E3" w:rsidRPr="009E515B" w14:paraId="5E072724" w14:textId="597DB706" w:rsidTr="008B7FC3">
        <w:trPr>
          <w:trHeight w:val="135"/>
        </w:trPr>
        <w:tc>
          <w:tcPr>
            <w:tcW w:w="10153" w:type="dxa"/>
          </w:tcPr>
          <w:p w14:paraId="474E22DF" w14:textId="6B856443" w:rsidR="006E3B43" w:rsidRPr="009E515B" w:rsidRDefault="006E3B43" w:rsidP="006E3B43">
            <w:pPr>
              <w:rPr>
                <w:rFonts w:ascii="Arial" w:hAnsi="Arial" w:cs="Arial"/>
                <w:sz w:val="24"/>
                <w:szCs w:val="24"/>
              </w:rPr>
            </w:pPr>
          </w:p>
        </w:tc>
      </w:tr>
      <w:tr w:rsidR="001349E3" w:rsidRPr="009E515B" w14:paraId="7B599B8C" w14:textId="18250BEE" w:rsidTr="008B7FC3">
        <w:trPr>
          <w:trHeight w:val="135"/>
        </w:trPr>
        <w:tc>
          <w:tcPr>
            <w:tcW w:w="10153" w:type="dxa"/>
          </w:tcPr>
          <w:p w14:paraId="0E15FDD9" w14:textId="1AAA3EEB" w:rsidR="006E3B43" w:rsidRPr="009E515B" w:rsidRDefault="006E3B43" w:rsidP="006E3B43">
            <w:pPr>
              <w:rPr>
                <w:rFonts w:ascii="Arial" w:hAnsi="Arial" w:cs="Arial"/>
                <w:b/>
                <w:bCs/>
                <w:sz w:val="24"/>
                <w:szCs w:val="24"/>
              </w:rPr>
            </w:pPr>
            <w:r w:rsidRPr="009E515B">
              <w:rPr>
                <w:rFonts w:ascii="Arial" w:hAnsi="Arial" w:cs="Arial"/>
                <w:b/>
                <w:bCs/>
                <w:sz w:val="24"/>
                <w:szCs w:val="24"/>
              </w:rPr>
              <w:t xml:space="preserve">Economic Impact Analysis, including </w:t>
            </w:r>
            <w:proofErr w:type="gramStart"/>
            <w:r w:rsidRPr="009E515B">
              <w:rPr>
                <w:rFonts w:ascii="Arial" w:hAnsi="Arial" w:cs="Arial"/>
                <w:b/>
                <w:bCs/>
                <w:sz w:val="24"/>
                <w:szCs w:val="24"/>
              </w:rPr>
              <w:t>all of</w:t>
            </w:r>
            <w:proofErr w:type="gramEnd"/>
            <w:r w:rsidRPr="009E515B">
              <w:rPr>
                <w:rFonts w:ascii="Arial" w:hAnsi="Arial" w:cs="Arial"/>
                <w:b/>
                <w:bCs/>
                <w:sz w:val="24"/>
                <w:szCs w:val="24"/>
              </w:rPr>
              <w:t xml:space="preserve"> the required elements pursuant to 11346.3(b)(1)(A) through (D)?</w:t>
            </w:r>
          </w:p>
          <w:p w14:paraId="433E08C6" w14:textId="37149F68" w:rsidR="0057391A" w:rsidRPr="009E515B" w:rsidRDefault="0057391A" w:rsidP="0057391A">
            <w:pPr>
              <w:rPr>
                <w:rFonts w:ascii="Arial" w:hAnsi="Arial" w:cs="Arial"/>
                <w:b/>
                <w:bCs/>
                <w:sz w:val="24"/>
                <w:szCs w:val="24"/>
              </w:rPr>
            </w:pPr>
            <w:r w:rsidRPr="009E515B">
              <w:rPr>
                <w:rFonts w:ascii="Arial" w:hAnsi="Arial" w:cs="Arial"/>
                <w:b/>
                <w:bCs/>
                <w:sz w:val="24"/>
                <w:szCs w:val="24"/>
              </w:rPr>
              <w:t>[Placeholder- see Remaining Questions]</w:t>
            </w:r>
          </w:p>
          <w:p w14:paraId="092BCA57" w14:textId="77777777" w:rsidR="006E3B43" w:rsidRPr="009E515B" w:rsidRDefault="006E3B43" w:rsidP="006E3B43">
            <w:pPr>
              <w:rPr>
                <w:rFonts w:ascii="Arial" w:hAnsi="Arial" w:cs="Arial"/>
                <w:b/>
                <w:bCs/>
                <w:sz w:val="24"/>
                <w:szCs w:val="24"/>
              </w:rPr>
            </w:pPr>
          </w:p>
          <w:p w14:paraId="63FC920E" w14:textId="1008AD2F" w:rsidR="00565425" w:rsidRPr="009E515B" w:rsidRDefault="00565425" w:rsidP="00565425">
            <w:pPr>
              <w:rPr>
                <w:rFonts w:ascii="Arial" w:hAnsi="Arial" w:cs="Arial"/>
                <w:b/>
                <w:bCs/>
                <w:sz w:val="24"/>
                <w:szCs w:val="24"/>
              </w:rPr>
            </w:pPr>
          </w:p>
        </w:tc>
      </w:tr>
      <w:tr w:rsidR="001349E3" w:rsidRPr="009E515B" w14:paraId="218D9AC9" w14:textId="2C3E1AF0" w:rsidTr="008B7FC3">
        <w:trPr>
          <w:trHeight w:val="135"/>
        </w:trPr>
        <w:tc>
          <w:tcPr>
            <w:tcW w:w="10153" w:type="dxa"/>
          </w:tcPr>
          <w:p w14:paraId="17C74EBF" w14:textId="3D2C9759" w:rsidR="006E3B43" w:rsidRPr="009E515B" w:rsidRDefault="006E3B43" w:rsidP="006E3B43">
            <w:pPr>
              <w:rPr>
                <w:rFonts w:ascii="Arial" w:hAnsi="Arial" w:cs="Arial"/>
                <w:b/>
                <w:bCs/>
                <w:sz w:val="24"/>
                <w:szCs w:val="24"/>
              </w:rPr>
            </w:pPr>
            <w:r w:rsidRPr="009E515B">
              <w:rPr>
                <w:rFonts w:ascii="Arial" w:hAnsi="Arial" w:cs="Arial"/>
                <w:b/>
                <w:bCs/>
                <w:sz w:val="24"/>
                <w:szCs w:val="24"/>
              </w:rPr>
              <w:t>Documents Incorporated by Reference.</w:t>
            </w:r>
          </w:p>
          <w:p w14:paraId="0EC56039" w14:textId="76ABAE8D" w:rsidR="006E3B43" w:rsidRPr="009E515B" w:rsidRDefault="0057391A" w:rsidP="006E3B43">
            <w:pPr>
              <w:rPr>
                <w:rFonts w:ascii="Arial" w:hAnsi="Arial" w:cs="Arial"/>
                <w:sz w:val="24"/>
                <w:szCs w:val="24"/>
              </w:rPr>
            </w:pPr>
            <w:r w:rsidRPr="009E515B">
              <w:rPr>
                <w:rFonts w:ascii="Arial" w:hAnsi="Arial" w:cs="Arial"/>
                <w:sz w:val="24"/>
                <w:szCs w:val="24"/>
              </w:rPr>
              <w:t xml:space="preserve">There are no documents incorporated by reference as part of this rulemaking. </w:t>
            </w:r>
          </w:p>
        </w:tc>
      </w:tr>
      <w:bookmarkEnd w:id="0"/>
      <w:tr w:rsidR="001349E3" w:rsidRPr="009E515B" w14:paraId="0D945CB8" w14:textId="36FAD2C2" w:rsidTr="008B7FC3">
        <w:trPr>
          <w:trHeight w:val="135"/>
        </w:trPr>
        <w:tc>
          <w:tcPr>
            <w:tcW w:w="10153" w:type="dxa"/>
          </w:tcPr>
          <w:p w14:paraId="704C9421" w14:textId="64177CC6" w:rsidR="006E3B43" w:rsidRPr="009E515B" w:rsidRDefault="006E3B43" w:rsidP="006E3B43">
            <w:pPr>
              <w:rPr>
                <w:rFonts w:ascii="Arial" w:hAnsi="Arial" w:cs="Arial"/>
                <w:sz w:val="24"/>
                <w:szCs w:val="24"/>
              </w:rPr>
            </w:pPr>
          </w:p>
          <w:p w14:paraId="7CF3BEE2" w14:textId="3E57F180" w:rsidR="00565425" w:rsidRPr="009E515B" w:rsidRDefault="00565425" w:rsidP="006E3B43">
            <w:pPr>
              <w:rPr>
                <w:rFonts w:ascii="Arial" w:hAnsi="Arial" w:cs="Arial"/>
                <w:b/>
                <w:bCs/>
                <w:sz w:val="24"/>
                <w:szCs w:val="24"/>
              </w:rPr>
            </w:pPr>
            <w:r w:rsidRPr="009E515B">
              <w:rPr>
                <w:rFonts w:ascii="Arial" w:hAnsi="Arial" w:cs="Arial"/>
                <w:b/>
                <w:bCs/>
                <w:sz w:val="24"/>
                <w:szCs w:val="24"/>
              </w:rPr>
              <w:t>Technical, Theoretical, and/or Empirical Study or Reports</w:t>
            </w:r>
          </w:p>
          <w:p w14:paraId="3E64B58D" w14:textId="77777777" w:rsidR="006E3B43" w:rsidRPr="009E515B" w:rsidRDefault="006E3B43" w:rsidP="006E3B43">
            <w:pPr>
              <w:rPr>
                <w:rFonts w:ascii="Arial" w:hAnsi="Arial" w:cs="Arial"/>
                <w:b/>
                <w:bCs/>
                <w:sz w:val="24"/>
                <w:szCs w:val="24"/>
              </w:rPr>
            </w:pPr>
            <w:r w:rsidRPr="009E515B">
              <w:rPr>
                <w:rFonts w:ascii="Arial" w:hAnsi="Arial" w:cs="Arial"/>
                <w:b/>
                <w:bCs/>
                <w:sz w:val="24"/>
                <w:szCs w:val="24"/>
              </w:rPr>
              <w:t>Documents Relied Upon:</w:t>
            </w:r>
          </w:p>
          <w:p w14:paraId="55E5987B" w14:textId="51D7683C" w:rsidR="006E3B43" w:rsidRPr="009E515B" w:rsidRDefault="006E3B43" w:rsidP="006E3B43">
            <w:pPr>
              <w:rPr>
                <w:rFonts w:ascii="Arial" w:eastAsia="Arial" w:hAnsi="Arial" w:cs="Arial"/>
                <w:sz w:val="24"/>
                <w:szCs w:val="24"/>
              </w:rPr>
            </w:pPr>
            <w:r w:rsidRPr="009E515B">
              <w:rPr>
                <w:rFonts w:ascii="Arial" w:eastAsia="Arial" w:hAnsi="Arial" w:cs="Arial"/>
                <w:sz w:val="24"/>
                <w:szCs w:val="24"/>
              </w:rPr>
              <w:t xml:space="preserve">In addition to the sources noted above, the OSFM relied on the following technical, theoretical, and/or empirical studies, reports, and laws in developing the proposed regulations. </w:t>
            </w:r>
          </w:p>
          <w:p w14:paraId="4593BC2D" w14:textId="77777777" w:rsidR="006E3B43" w:rsidRPr="009E515B" w:rsidRDefault="006E3B43" w:rsidP="006E3B43">
            <w:pPr>
              <w:rPr>
                <w:rFonts w:ascii="Arial" w:eastAsia="Arial" w:hAnsi="Arial" w:cs="Arial"/>
                <w:sz w:val="24"/>
                <w:szCs w:val="24"/>
              </w:rPr>
            </w:pPr>
          </w:p>
          <w:p w14:paraId="49DE2F4D" w14:textId="7C316D94" w:rsidR="006E3B43" w:rsidRPr="009E515B" w:rsidRDefault="006E3B43" w:rsidP="006E3B43">
            <w:pPr>
              <w:rPr>
                <w:rFonts w:ascii="Arial" w:hAnsi="Arial" w:cs="Arial"/>
                <w:spacing w:val="-9"/>
                <w:sz w:val="24"/>
                <w:szCs w:val="24"/>
              </w:rPr>
            </w:pPr>
            <w:r w:rsidRPr="009E515B">
              <w:rPr>
                <w:rFonts w:ascii="Arial" w:hAnsi="Arial" w:cs="Arial"/>
                <w:spacing w:val="2"/>
                <w:sz w:val="24"/>
                <w:szCs w:val="24"/>
              </w:rPr>
              <w:t xml:space="preserve">In </w:t>
            </w:r>
            <w:r w:rsidRPr="009E515B">
              <w:rPr>
                <w:rFonts w:ascii="Arial" w:hAnsi="Arial" w:cs="Arial"/>
                <w:spacing w:val="3"/>
                <w:sz w:val="24"/>
                <w:szCs w:val="24"/>
              </w:rPr>
              <w:t>de</w:t>
            </w:r>
            <w:r w:rsidRPr="009E515B">
              <w:rPr>
                <w:rFonts w:ascii="Arial" w:hAnsi="Arial" w:cs="Arial"/>
                <w:sz w:val="24"/>
                <w:szCs w:val="24"/>
              </w:rPr>
              <w:t>v</w:t>
            </w:r>
            <w:r w:rsidRPr="009E515B">
              <w:rPr>
                <w:rFonts w:ascii="Arial" w:hAnsi="Arial" w:cs="Arial"/>
                <w:spacing w:val="3"/>
                <w:sz w:val="24"/>
                <w:szCs w:val="24"/>
              </w:rPr>
              <w:t>e</w:t>
            </w:r>
            <w:r w:rsidRPr="009E515B">
              <w:rPr>
                <w:rFonts w:ascii="Arial" w:hAnsi="Arial" w:cs="Arial"/>
                <w:spacing w:val="2"/>
                <w:sz w:val="24"/>
                <w:szCs w:val="24"/>
              </w:rPr>
              <w:t>l</w:t>
            </w:r>
            <w:r w:rsidRPr="009E515B">
              <w:rPr>
                <w:rFonts w:ascii="Arial" w:hAnsi="Arial" w:cs="Arial"/>
                <w:spacing w:val="1"/>
                <w:sz w:val="24"/>
                <w:szCs w:val="24"/>
              </w:rPr>
              <w:t>o</w:t>
            </w:r>
            <w:r w:rsidRPr="009E515B">
              <w:rPr>
                <w:rFonts w:ascii="Arial" w:hAnsi="Arial" w:cs="Arial"/>
                <w:spacing w:val="3"/>
                <w:sz w:val="24"/>
                <w:szCs w:val="24"/>
              </w:rPr>
              <w:t>p</w:t>
            </w:r>
            <w:r w:rsidRPr="009E515B">
              <w:rPr>
                <w:rFonts w:ascii="Arial" w:hAnsi="Arial" w:cs="Arial"/>
                <w:spacing w:val="2"/>
                <w:sz w:val="24"/>
                <w:szCs w:val="24"/>
              </w:rPr>
              <w:t>i</w:t>
            </w:r>
            <w:r w:rsidRPr="009E515B">
              <w:rPr>
                <w:rFonts w:ascii="Arial" w:hAnsi="Arial" w:cs="Arial"/>
                <w:spacing w:val="3"/>
                <w:sz w:val="24"/>
                <w:szCs w:val="24"/>
              </w:rPr>
              <w:t>n</w:t>
            </w:r>
            <w:r w:rsidRPr="009E515B">
              <w:rPr>
                <w:rFonts w:ascii="Arial" w:hAnsi="Arial" w:cs="Arial"/>
                <w:sz w:val="24"/>
                <w:szCs w:val="24"/>
              </w:rPr>
              <w:t>g</w:t>
            </w:r>
            <w:r w:rsidRPr="009E515B">
              <w:rPr>
                <w:rFonts w:ascii="Arial" w:hAnsi="Arial" w:cs="Arial"/>
                <w:spacing w:val="-11"/>
                <w:sz w:val="24"/>
                <w:szCs w:val="24"/>
              </w:rPr>
              <w:t xml:space="preserve"> </w:t>
            </w:r>
            <w:r w:rsidRPr="009E515B">
              <w:rPr>
                <w:rFonts w:ascii="Arial" w:hAnsi="Arial" w:cs="Arial"/>
                <w:spacing w:val="3"/>
                <w:sz w:val="24"/>
                <w:szCs w:val="24"/>
              </w:rPr>
              <w:t>t</w:t>
            </w:r>
            <w:r w:rsidRPr="009E515B">
              <w:rPr>
                <w:rFonts w:ascii="Arial" w:hAnsi="Arial" w:cs="Arial"/>
                <w:spacing w:val="1"/>
                <w:sz w:val="24"/>
                <w:szCs w:val="24"/>
              </w:rPr>
              <w:t>h</w:t>
            </w:r>
            <w:r w:rsidRPr="009E515B">
              <w:rPr>
                <w:rFonts w:ascii="Arial" w:hAnsi="Arial" w:cs="Arial"/>
                <w:spacing w:val="3"/>
                <w:sz w:val="24"/>
                <w:szCs w:val="24"/>
              </w:rPr>
              <w:t>e</w:t>
            </w:r>
            <w:r w:rsidRPr="009E515B">
              <w:rPr>
                <w:rFonts w:ascii="Arial" w:hAnsi="Arial" w:cs="Arial"/>
                <w:sz w:val="24"/>
                <w:szCs w:val="24"/>
              </w:rPr>
              <w:t>se</w:t>
            </w:r>
            <w:r w:rsidRPr="009E515B">
              <w:rPr>
                <w:rFonts w:ascii="Arial" w:hAnsi="Arial" w:cs="Arial"/>
                <w:spacing w:val="-8"/>
                <w:sz w:val="24"/>
                <w:szCs w:val="24"/>
              </w:rPr>
              <w:t xml:space="preserve"> </w:t>
            </w:r>
            <w:r w:rsidRPr="009E515B">
              <w:rPr>
                <w:rFonts w:ascii="Arial" w:hAnsi="Arial" w:cs="Arial"/>
                <w:spacing w:val="3"/>
                <w:sz w:val="24"/>
                <w:szCs w:val="24"/>
              </w:rPr>
              <w:t>p</w:t>
            </w:r>
            <w:r w:rsidRPr="009E515B">
              <w:rPr>
                <w:rFonts w:ascii="Arial" w:hAnsi="Arial" w:cs="Arial"/>
                <w:spacing w:val="2"/>
                <w:sz w:val="24"/>
                <w:szCs w:val="24"/>
              </w:rPr>
              <w:t>r</w:t>
            </w:r>
            <w:r w:rsidRPr="009E515B">
              <w:rPr>
                <w:rFonts w:ascii="Arial" w:hAnsi="Arial" w:cs="Arial"/>
                <w:spacing w:val="1"/>
                <w:sz w:val="24"/>
                <w:szCs w:val="24"/>
              </w:rPr>
              <w:t>op</w:t>
            </w:r>
            <w:r w:rsidRPr="009E515B">
              <w:rPr>
                <w:rFonts w:ascii="Arial" w:hAnsi="Arial" w:cs="Arial"/>
                <w:spacing w:val="3"/>
                <w:sz w:val="24"/>
                <w:szCs w:val="24"/>
              </w:rPr>
              <w:t>o</w:t>
            </w:r>
            <w:r w:rsidRPr="009E515B">
              <w:rPr>
                <w:rFonts w:ascii="Arial" w:hAnsi="Arial" w:cs="Arial"/>
                <w:spacing w:val="2"/>
                <w:sz w:val="24"/>
                <w:szCs w:val="24"/>
              </w:rPr>
              <w:t>s</w:t>
            </w:r>
            <w:r w:rsidRPr="009E515B">
              <w:rPr>
                <w:rFonts w:ascii="Arial" w:hAnsi="Arial" w:cs="Arial"/>
                <w:spacing w:val="1"/>
                <w:sz w:val="24"/>
                <w:szCs w:val="24"/>
              </w:rPr>
              <w:t>e</w:t>
            </w:r>
            <w:r w:rsidRPr="009E515B">
              <w:rPr>
                <w:rFonts w:ascii="Arial" w:hAnsi="Arial" w:cs="Arial"/>
                <w:sz w:val="24"/>
                <w:szCs w:val="24"/>
              </w:rPr>
              <w:t>d</w:t>
            </w:r>
            <w:r w:rsidRPr="009E515B">
              <w:rPr>
                <w:rFonts w:ascii="Arial" w:hAnsi="Arial" w:cs="Arial"/>
                <w:spacing w:val="-6"/>
                <w:sz w:val="24"/>
                <w:szCs w:val="24"/>
              </w:rPr>
              <w:t xml:space="preserve"> </w:t>
            </w:r>
            <w:r w:rsidRPr="009E515B">
              <w:rPr>
                <w:rFonts w:ascii="Arial" w:hAnsi="Arial" w:cs="Arial"/>
                <w:spacing w:val="-1"/>
                <w:sz w:val="24"/>
                <w:szCs w:val="24"/>
              </w:rPr>
              <w:t>r</w:t>
            </w:r>
            <w:r w:rsidRPr="009E515B">
              <w:rPr>
                <w:rFonts w:ascii="Arial" w:hAnsi="Arial" w:cs="Arial"/>
                <w:spacing w:val="3"/>
                <w:sz w:val="24"/>
                <w:szCs w:val="24"/>
              </w:rPr>
              <w:t>e</w:t>
            </w:r>
            <w:r w:rsidRPr="009E515B">
              <w:rPr>
                <w:rFonts w:ascii="Arial" w:hAnsi="Arial" w:cs="Arial"/>
                <w:spacing w:val="1"/>
                <w:sz w:val="24"/>
                <w:szCs w:val="24"/>
              </w:rPr>
              <w:t>g</w:t>
            </w:r>
            <w:r w:rsidRPr="009E515B">
              <w:rPr>
                <w:rFonts w:ascii="Arial" w:hAnsi="Arial" w:cs="Arial"/>
                <w:spacing w:val="3"/>
                <w:sz w:val="24"/>
                <w:szCs w:val="24"/>
              </w:rPr>
              <w:t>u</w:t>
            </w:r>
            <w:r w:rsidRPr="009E515B">
              <w:rPr>
                <w:rFonts w:ascii="Arial" w:hAnsi="Arial" w:cs="Arial"/>
                <w:spacing w:val="2"/>
                <w:sz w:val="24"/>
                <w:szCs w:val="24"/>
              </w:rPr>
              <w:t>l</w:t>
            </w:r>
            <w:r w:rsidRPr="009E515B">
              <w:rPr>
                <w:rFonts w:ascii="Arial" w:hAnsi="Arial" w:cs="Arial"/>
                <w:spacing w:val="1"/>
                <w:sz w:val="24"/>
                <w:szCs w:val="24"/>
              </w:rPr>
              <w:t>a</w:t>
            </w:r>
            <w:r w:rsidRPr="009E515B">
              <w:rPr>
                <w:rFonts w:ascii="Arial" w:hAnsi="Arial" w:cs="Arial"/>
                <w:spacing w:val="3"/>
                <w:sz w:val="24"/>
                <w:szCs w:val="24"/>
              </w:rPr>
              <w:t>t</w:t>
            </w:r>
            <w:r w:rsidRPr="009E515B">
              <w:rPr>
                <w:rFonts w:ascii="Arial" w:hAnsi="Arial" w:cs="Arial"/>
                <w:spacing w:val="2"/>
                <w:sz w:val="24"/>
                <w:szCs w:val="24"/>
              </w:rPr>
              <w:t>i</w:t>
            </w:r>
            <w:r w:rsidRPr="009E515B">
              <w:rPr>
                <w:rFonts w:ascii="Arial" w:hAnsi="Arial" w:cs="Arial"/>
                <w:spacing w:val="1"/>
                <w:sz w:val="24"/>
                <w:szCs w:val="24"/>
              </w:rPr>
              <w:t>o</w:t>
            </w:r>
            <w:r w:rsidRPr="009E515B">
              <w:rPr>
                <w:rFonts w:ascii="Arial" w:hAnsi="Arial" w:cs="Arial"/>
                <w:spacing w:val="3"/>
                <w:sz w:val="24"/>
                <w:szCs w:val="24"/>
              </w:rPr>
              <w:t>n</w:t>
            </w:r>
            <w:r w:rsidRPr="009E515B">
              <w:rPr>
                <w:rFonts w:ascii="Arial" w:hAnsi="Arial" w:cs="Arial"/>
                <w:spacing w:val="2"/>
                <w:sz w:val="24"/>
                <w:szCs w:val="24"/>
              </w:rPr>
              <w:t>s, t</w:t>
            </w:r>
            <w:r w:rsidRPr="009E515B">
              <w:rPr>
                <w:rFonts w:ascii="Arial" w:hAnsi="Arial" w:cs="Arial"/>
                <w:spacing w:val="-9"/>
                <w:sz w:val="24"/>
                <w:szCs w:val="24"/>
              </w:rPr>
              <w:t xml:space="preserve">he OSFM </w:t>
            </w:r>
            <w:r w:rsidRPr="009E515B">
              <w:rPr>
                <w:rFonts w:ascii="Arial" w:hAnsi="Arial" w:cs="Arial"/>
                <w:sz w:val="24"/>
                <w:szCs w:val="24"/>
              </w:rPr>
              <w:t>consulted with and received input from the Aboveground Petroleum Storage Act (APSA) Advisory Committee. These were conversations only, and there were no documents relied upon in connection with these consultations.</w:t>
            </w:r>
          </w:p>
          <w:p w14:paraId="0F699BF3" w14:textId="77777777" w:rsidR="006E3B43" w:rsidRPr="009E515B" w:rsidRDefault="006E3B43" w:rsidP="006E3B43">
            <w:pPr>
              <w:rPr>
                <w:rFonts w:ascii="Arial" w:hAnsi="Arial" w:cs="Arial"/>
                <w:sz w:val="24"/>
                <w:szCs w:val="24"/>
              </w:rPr>
            </w:pPr>
          </w:p>
          <w:p w14:paraId="596194E4" w14:textId="1DA47664" w:rsidR="006E3B43" w:rsidRPr="009E515B" w:rsidRDefault="006E3B43" w:rsidP="006E3B43">
            <w:pPr>
              <w:rPr>
                <w:rFonts w:ascii="Arial" w:eastAsia="Arial" w:hAnsi="Arial" w:cs="Arial"/>
                <w:sz w:val="24"/>
                <w:szCs w:val="24"/>
              </w:rPr>
            </w:pPr>
            <w:r w:rsidRPr="009E515B">
              <w:rPr>
                <w:rFonts w:ascii="Arial" w:hAnsi="Arial" w:cs="Arial"/>
                <w:sz w:val="24"/>
                <w:szCs w:val="24"/>
              </w:rPr>
              <w:t xml:space="preserve">The OSFM APSA Advisory Committee consists of local UPAs, Federal and State agencies, fire service, various industry representatives, industry standards organization, tank manufacturer/distributor, and private consulting, to provide recommendations and review the proposed regulations.  </w:t>
            </w:r>
            <w:r w:rsidRPr="009E515B">
              <w:rPr>
                <w:rFonts w:ascii="Arial" w:eastAsia="Arial" w:hAnsi="Arial" w:cs="Arial"/>
                <w:sz w:val="24"/>
                <w:szCs w:val="24"/>
              </w:rPr>
              <w:t xml:space="preserve">Many committee members would be legally required to comply with the new regulations and are therefore directly impacted by amendments. Committee members are appointed by the State Fire Marshal. </w:t>
            </w:r>
          </w:p>
          <w:p w14:paraId="0F99C719" w14:textId="77777777" w:rsidR="006E3B43" w:rsidRPr="009E515B" w:rsidRDefault="006E3B43" w:rsidP="006E3B43">
            <w:pPr>
              <w:rPr>
                <w:rFonts w:ascii="Arial" w:eastAsia="Arial" w:hAnsi="Arial" w:cs="Arial"/>
                <w:sz w:val="24"/>
                <w:szCs w:val="24"/>
              </w:rPr>
            </w:pPr>
          </w:p>
          <w:p w14:paraId="1D886B7D" w14:textId="42FAAEE2" w:rsidR="006E3B43" w:rsidRPr="009E515B" w:rsidRDefault="006E3B43" w:rsidP="006E3B43">
            <w:pPr>
              <w:rPr>
                <w:rFonts w:ascii="Arial" w:eastAsia="Arial" w:hAnsi="Arial" w:cs="Arial"/>
                <w:sz w:val="24"/>
                <w:szCs w:val="24"/>
              </w:rPr>
            </w:pPr>
            <w:r w:rsidRPr="009E515B">
              <w:rPr>
                <w:rFonts w:ascii="Arial" w:eastAsia="Arial" w:hAnsi="Arial" w:cs="Arial"/>
                <w:sz w:val="24"/>
                <w:szCs w:val="24"/>
              </w:rPr>
              <w:t>These regulations were originally developed by the committee as a subgroup and then group consensus process between 2013 and 2018. An updated draft of the regulations was discussed and analyzed by the committee during the April 11, 2023</w:t>
            </w:r>
            <w:r w:rsidR="0057391A" w:rsidRPr="009E515B">
              <w:rPr>
                <w:rFonts w:ascii="Arial" w:eastAsia="Arial" w:hAnsi="Arial" w:cs="Arial"/>
                <w:sz w:val="24"/>
                <w:szCs w:val="24"/>
              </w:rPr>
              <w:t>,</w:t>
            </w:r>
            <w:r w:rsidRPr="009E515B">
              <w:rPr>
                <w:rFonts w:ascii="Arial" w:eastAsia="Arial" w:hAnsi="Arial" w:cs="Arial"/>
                <w:sz w:val="24"/>
                <w:szCs w:val="24"/>
              </w:rPr>
              <w:t xml:space="preserve"> advisory committee meeting, as noticed on the meeting agenda. </w:t>
            </w:r>
          </w:p>
          <w:p w14:paraId="711336B7" w14:textId="0926ED64" w:rsidR="006E3B43" w:rsidRPr="009E515B" w:rsidRDefault="006E3B43" w:rsidP="006E3B43">
            <w:pPr>
              <w:rPr>
                <w:rFonts w:ascii="Arial" w:eastAsia="Arial" w:hAnsi="Arial" w:cs="Arial"/>
                <w:sz w:val="24"/>
                <w:szCs w:val="24"/>
              </w:rPr>
            </w:pPr>
          </w:p>
          <w:p w14:paraId="704310DA" w14:textId="64FFD196" w:rsidR="006E3B43" w:rsidRPr="009E515B" w:rsidRDefault="006E3B43" w:rsidP="006E3B43">
            <w:pPr>
              <w:rPr>
                <w:rFonts w:ascii="Arial" w:eastAsia="Arial" w:hAnsi="Arial" w:cs="Arial"/>
                <w:sz w:val="24"/>
                <w:szCs w:val="24"/>
              </w:rPr>
            </w:pPr>
            <w:r w:rsidRPr="009E515B">
              <w:rPr>
                <w:rFonts w:ascii="Arial" w:eastAsia="Arial" w:hAnsi="Arial" w:cs="Arial"/>
                <w:sz w:val="24"/>
                <w:szCs w:val="24"/>
              </w:rPr>
              <w:t xml:space="preserve">A revised draft of the Express Terms Text and a draft </w:t>
            </w:r>
            <w:r w:rsidR="00633D2A" w:rsidRPr="009E515B">
              <w:rPr>
                <w:rFonts w:ascii="Arial" w:eastAsia="Arial" w:hAnsi="Arial" w:cs="Arial"/>
                <w:sz w:val="24"/>
                <w:szCs w:val="24"/>
              </w:rPr>
              <w:t>o</w:t>
            </w:r>
            <w:r w:rsidRPr="009E515B">
              <w:rPr>
                <w:rFonts w:ascii="Arial" w:eastAsia="Arial" w:hAnsi="Arial" w:cs="Arial"/>
                <w:sz w:val="24"/>
                <w:szCs w:val="24"/>
              </w:rPr>
              <w:t>f this ISOR document was placed on the agenda for the June 20, 2023</w:t>
            </w:r>
            <w:r w:rsidR="0057391A" w:rsidRPr="009E515B">
              <w:rPr>
                <w:rFonts w:ascii="Arial" w:eastAsia="Arial" w:hAnsi="Arial" w:cs="Arial"/>
                <w:sz w:val="24"/>
                <w:szCs w:val="24"/>
              </w:rPr>
              <w:t>,</w:t>
            </w:r>
            <w:r w:rsidRPr="009E515B">
              <w:rPr>
                <w:rFonts w:ascii="Arial" w:eastAsia="Arial" w:hAnsi="Arial" w:cs="Arial"/>
                <w:sz w:val="24"/>
                <w:szCs w:val="24"/>
              </w:rPr>
              <w:t xml:space="preserve"> Advisory Committee meeting for further revisions and analysis by the committee.</w:t>
            </w:r>
            <w:r w:rsidR="00AA0200" w:rsidRPr="009E515B">
              <w:rPr>
                <w:rFonts w:ascii="Arial" w:eastAsia="Arial" w:hAnsi="Arial" w:cs="Arial"/>
                <w:sz w:val="24"/>
                <w:szCs w:val="24"/>
              </w:rPr>
              <w:t xml:space="preserve"> </w:t>
            </w:r>
            <w:r w:rsidRPr="009E515B">
              <w:rPr>
                <w:rFonts w:ascii="Arial" w:eastAsia="Arial" w:hAnsi="Arial" w:cs="Arial"/>
                <w:sz w:val="24"/>
                <w:szCs w:val="24"/>
              </w:rPr>
              <w:t xml:space="preserve">The results of the Advisory Committee activity </w:t>
            </w:r>
            <w:proofErr w:type="gramStart"/>
            <w:r w:rsidRPr="009E515B">
              <w:rPr>
                <w:rFonts w:ascii="Arial" w:eastAsia="Arial" w:hAnsi="Arial" w:cs="Arial"/>
                <w:sz w:val="24"/>
                <w:szCs w:val="24"/>
              </w:rPr>
              <w:t>is</w:t>
            </w:r>
            <w:proofErr w:type="gramEnd"/>
            <w:r w:rsidRPr="009E515B">
              <w:rPr>
                <w:rFonts w:ascii="Arial" w:eastAsia="Arial" w:hAnsi="Arial" w:cs="Arial"/>
                <w:sz w:val="24"/>
                <w:szCs w:val="24"/>
              </w:rPr>
              <w:t xml:space="preserve"> memorialized in the meeting minutes and in the content of the ISOR document. </w:t>
            </w:r>
          </w:p>
          <w:p w14:paraId="15905921" w14:textId="77777777" w:rsidR="006E3B43" w:rsidRPr="009E515B" w:rsidRDefault="006E3B43" w:rsidP="006E3B43">
            <w:pPr>
              <w:rPr>
                <w:rFonts w:ascii="Arial" w:hAnsi="Arial" w:cs="Arial"/>
                <w:sz w:val="24"/>
                <w:szCs w:val="24"/>
              </w:rPr>
            </w:pPr>
          </w:p>
          <w:p w14:paraId="337D158D" w14:textId="456C6B39" w:rsidR="006E3B43" w:rsidRPr="009E515B" w:rsidRDefault="006E3B43" w:rsidP="006E3B43">
            <w:pPr>
              <w:rPr>
                <w:rFonts w:ascii="Arial" w:hAnsi="Arial" w:cs="Arial"/>
                <w:b/>
                <w:bCs/>
                <w:sz w:val="24"/>
                <w:szCs w:val="24"/>
              </w:rPr>
            </w:pPr>
            <w:r w:rsidRPr="009E515B">
              <w:rPr>
                <w:rFonts w:ascii="Arial" w:hAnsi="Arial" w:cs="Arial"/>
                <w:b/>
                <w:bCs/>
                <w:sz w:val="24"/>
                <w:szCs w:val="24"/>
              </w:rPr>
              <w:t>Documents Relied Upon</w:t>
            </w:r>
          </w:p>
          <w:p w14:paraId="1AD9A8F0" w14:textId="61D640DE" w:rsidR="006E3B43" w:rsidRPr="009E515B" w:rsidRDefault="006E3B43" w:rsidP="006E3B43">
            <w:pPr>
              <w:rPr>
                <w:rFonts w:ascii="Arial" w:hAnsi="Arial" w:cs="Arial"/>
                <w:sz w:val="24"/>
                <w:szCs w:val="24"/>
              </w:rPr>
            </w:pPr>
            <w:r w:rsidRPr="009E515B">
              <w:rPr>
                <w:rFonts w:ascii="Arial" w:hAnsi="Arial" w:cs="Arial"/>
                <w:sz w:val="24"/>
                <w:szCs w:val="24"/>
              </w:rPr>
              <w:lastRenderedPageBreak/>
              <w:t xml:space="preserve">OSFM Informational Bulletins, IB 14-005 and IB 14005-A: Under the 2014 tab </w:t>
            </w:r>
            <w:hyperlink r:id="rId8" w:history="1">
              <w:r w:rsidRPr="009E515B">
                <w:rPr>
                  <w:rStyle w:val="Hyperlink"/>
                  <w:rFonts w:ascii="Arial" w:hAnsi="Arial" w:cs="Arial"/>
                  <w:color w:val="auto"/>
                  <w:sz w:val="24"/>
                  <w:szCs w:val="24"/>
                </w:rPr>
                <w:t>https://osfm.fire.ca.gov/divisions/code-development-and-analysis/information-bulletins/</w:t>
              </w:r>
            </w:hyperlink>
          </w:p>
          <w:p w14:paraId="4AC626A3" w14:textId="77777777" w:rsidR="006E3B43" w:rsidRPr="009E515B" w:rsidRDefault="006E3B43" w:rsidP="006E3B43">
            <w:pPr>
              <w:rPr>
                <w:rFonts w:ascii="Arial" w:hAnsi="Arial" w:cs="Arial"/>
                <w:sz w:val="24"/>
                <w:szCs w:val="24"/>
              </w:rPr>
            </w:pPr>
          </w:p>
          <w:p w14:paraId="343EE176" w14:textId="4183AFC6" w:rsidR="006E3B43" w:rsidRPr="009E515B" w:rsidRDefault="00565425" w:rsidP="006E3B43">
            <w:pPr>
              <w:rPr>
                <w:rFonts w:ascii="Arial" w:hAnsi="Arial" w:cs="Arial"/>
                <w:sz w:val="24"/>
                <w:szCs w:val="24"/>
              </w:rPr>
            </w:pPr>
            <w:r w:rsidRPr="009E515B">
              <w:rPr>
                <w:rFonts w:ascii="Arial" w:hAnsi="Arial" w:cs="Arial"/>
                <w:sz w:val="24"/>
                <w:szCs w:val="24"/>
              </w:rPr>
              <w:t xml:space="preserve">1. </w:t>
            </w:r>
            <w:r w:rsidR="006E3B43" w:rsidRPr="009E515B">
              <w:rPr>
                <w:rFonts w:ascii="Arial" w:hAnsi="Arial" w:cs="Arial"/>
                <w:sz w:val="24"/>
                <w:szCs w:val="24"/>
              </w:rPr>
              <w:t>IB: 14-005 7/25/14</w:t>
            </w:r>
            <w:r w:rsidR="006E3B43" w:rsidRPr="009E515B">
              <w:rPr>
                <w:rFonts w:ascii="Arial" w:hAnsi="Arial" w:cs="Arial"/>
                <w:sz w:val="24"/>
                <w:szCs w:val="24"/>
              </w:rPr>
              <w:tab/>
            </w:r>
          </w:p>
          <w:p w14:paraId="54CEA1CA" w14:textId="4B537442" w:rsidR="006E3B43" w:rsidRPr="009E515B" w:rsidRDefault="006E3B43" w:rsidP="006E3B43">
            <w:pPr>
              <w:rPr>
                <w:rFonts w:ascii="Arial" w:hAnsi="Arial" w:cs="Arial"/>
                <w:sz w:val="24"/>
                <w:szCs w:val="24"/>
              </w:rPr>
            </w:pPr>
            <w:r w:rsidRPr="009E515B">
              <w:rPr>
                <w:rFonts w:ascii="Arial" w:hAnsi="Arial" w:cs="Arial"/>
                <w:sz w:val="24"/>
                <w:szCs w:val="24"/>
              </w:rPr>
              <w:t>Underground Fuel Storage Tanks Prohibited for Use as Aboveground Fuel Storage Tanks (PDF)</w:t>
            </w:r>
          </w:p>
          <w:p w14:paraId="712C2398" w14:textId="35110B6B" w:rsidR="006E3B43" w:rsidRPr="009E515B" w:rsidRDefault="00565425" w:rsidP="006E3B43">
            <w:pPr>
              <w:rPr>
                <w:rFonts w:ascii="Arial" w:hAnsi="Arial" w:cs="Arial"/>
                <w:sz w:val="24"/>
                <w:szCs w:val="24"/>
              </w:rPr>
            </w:pPr>
            <w:r w:rsidRPr="009E515B">
              <w:rPr>
                <w:rFonts w:ascii="Arial" w:hAnsi="Arial" w:cs="Arial"/>
                <w:sz w:val="24"/>
                <w:szCs w:val="24"/>
              </w:rPr>
              <w:t xml:space="preserve">2. </w:t>
            </w:r>
            <w:r w:rsidR="006E3B43" w:rsidRPr="009E515B">
              <w:rPr>
                <w:rFonts w:ascii="Arial" w:hAnsi="Arial" w:cs="Arial"/>
                <w:sz w:val="24"/>
                <w:szCs w:val="24"/>
              </w:rPr>
              <w:t>IB: 14-005-A 1/29/15</w:t>
            </w:r>
            <w:r w:rsidR="006E3B43" w:rsidRPr="009E515B">
              <w:rPr>
                <w:rFonts w:ascii="Arial" w:hAnsi="Arial" w:cs="Arial"/>
                <w:sz w:val="24"/>
                <w:szCs w:val="24"/>
              </w:rPr>
              <w:tab/>
            </w:r>
          </w:p>
          <w:p w14:paraId="55361BD2" w14:textId="02116A6A" w:rsidR="006E3B43" w:rsidRPr="009E515B" w:rsidRDefault="006E3B43" w:rsidP="006E3B43">
            <w:pPr>
              <w:rPr>
                <w:rFonts w:ascii="Arial" w:hAnsi="Arial" w:cs="Arial"/>
                <w:sz w:val="24"/>
                <w:szCs w:val="24"/>
              </w:rPr>
            </w:pPr>
            <w:r w:rsidRPr="009E515B">
              <w:rPr>
                <w:rFonts w:ascii="Arial" w:hAnsi="Arial" w:cs="Arial"/>
                <w:sz w:val="24"/>
                <w:szCs w:val="24"/>
              </w:rPr>
              <w:t>Addendum - Underground Fuel Storage Tanks Prohibited for Use as Aboveground Fuel Storage Tanks (PDF)</w:t>
            </w:r>
          </w:p>
          <w:p w14:paraId="764156B3" w14:textId="77777777" w:rsidR="006E3B43" w:rsidRPr="009E515B" w:rsidRDefault="006E3B43" w:rsidP="006E3B43">
            <w:pPr>
              <w:rPr>
                <w:rFonts w:ascii="Arial" w:hAnsi="Arial" w:cs="Arial"/>
                <w:sz w:val="24"/>
                <w:szCs w:val="24"/>
              </w:rPr>
            </w:pPr>
          </w:p>
          <w:p w14:paraId="27BC03F6" w14:textId="015491C2" w:rsidR="006E3B43" w:rsidRPr="009E515B" w:rsidRDefault="006E3B43" w:rsidP="006E3B43">
            <w:pPr>
              <w:rPr>
                <w:rFonts w:ascii="Arial" w:hAnsi="Arial" w:cs="Arial"/>
                <w:sz w:val="24"/>
                <w:szCs w:val="24"/>
              </w:rPr>
            </w:pPr>
            <w:r w:rsidRPr="009E515B">
              <w:rPr>
                <w:rFonts w:ascii="Arial" w:hAnsi="Arial" w:cs="Arial"/>
                <w:sz w:val="24"/>
                <w:szCs w:val="24"/>
              </w:rPr>
              <w:t xml:space="preserve">OSFM Advisory Committee Meeting Agendas: 2023 Meeting Information tab </w:t>
            </w:r>
          </w:p>
          <w:p w14:paraId="16806E57" w14:textId="2852E082" w:rsidR="006E3B43" w:rsidRPr="009E515B" w:rsidRDefault="003F74CA" w:rsidP="006E3B43">
            <w:pPr>
              <w:rPr>
                <w:rFonts w:ascii="Arial" w:hAnsi="Arial" w:cs="Arial"/>
                <w:sz w:val="24"/>
                <w:szCs w:val="24"/>
              </w:rPr>
            </w:pPr>
            <w:hyperlink r:id="rId9" w:anchor="APSA2023" w:history="1">
              <w:r w:rsidR="006E3B43" w:rsidRPr="009E515B">
                <w:rPr>
                  <w:rStyle w:val="Hyperlink"/>
                  <w:rFonts w:ascii="Arial" w:hAnsi="Arial" w:cs="Arial"/>
                  <w:color w:val="auto"/>
                  <w:sz w:val="24"/>
                  <w:szCs w:val="24"/>
                </w:rPr>
                <w:t>https://osfm.fire.ca.gov/boards-committees/aboveground-petroleum-storage-act-apsa-advisory-committee/#APSA2023</w:t>
              </w:r>
            </w:hyperlink>
          </w:p>
          <w:p w14:paraId="6291C6F6" w14:textId="77777777" w:rsidR="006E3B43" w:rsidRPr="009E515B" w:rsidRDefault="006E3B43" w:rsidP="006E3B43">
            <w:pPr>
              <w:rPr>
                <w:rFonts w:ascii="Arial" w:hAnsi="Arial" w:cs="Arial"/>
                <w:sz w:val="24"/>
                <w:szCs w:val="24"/>
              </w:rPr>
            </w:pPr>
          </w:p>
          <w:p w14:paraId="67466BBD" w14:textId="6C3187B7" w:rsidR="006E3B43" w:rsidRPr="009E515B" w:rsidRDefault="00565425" w:rsidP="006E3B43">
            <w:pPr>
              <w:rPr>
                <w:rFonts w:ascii="Arial" w:eastAsia="Arial" w:hAnsi="Arial" w:cs="Arial"/>
                <w:sz w:val="24"/>
                <w:szCs w:val="24"/>
              </w:rPr>
            </w:pPr>
            <w:r w:rsidRPr="009E515B">
              <w:rPr>
                <w:rFonts w:ascii="Arial" w:hAnsi="Arial" w:cs="Arial"/>
                <w:sz w:val="24"/>
                <w:szCs w:val="24"/>
              </w:rPr>
              <w:t xml:space="preserve">3. </w:t>
            </w:r>
            <w:r w:rsidR="006E3B43" w:rsidRPr="009E515B">
              <w:rPr>
                <w:rFonts w:ascii="Arial" w:hAnsi="Arial" w:cs="Arial"/>
                <w:sz w:val="24"/>
                <w:szCs w:val="24"/>
              </w:rPr>
              <w:t xml:space="preserve">Meeting: </w:t>
            </w:r>
            <w:r w:rsidR="006E3B43" w:rsidRPr="009E515B">
              <w:rPr>
                <w:rFonts w:ascii="Arial" w:eastAsia="Arial" w:hAnsi="Arial" w:cs="Arial"/>
                <w:sz w:val="24"/>
                <w:szCs w:val="24"/>
              </w:rPr>
              <w:t>April 11, 2023</w:t>
            </w:r>
          </w:p>
          <w:p w14:paraId="22986B86" w14:textId="787B5A8B" w:rsidR="006E3B43" w:rsidRPr="009E515B" w:rsidRDefault="00AA0200" w:rsidP="006E3B43">
            <w:pPr>
              <w:rPr>
                <w:rFonts w:ascii="Arial" w:eastAsia="Arial" w:hAnsi="Arial" w:cs="Arial"/>
                <w:sz w:val="24"/>
                <w:szCs w:val="24"/>
              </w:rPr>
            </w:pPr>
            <w:r w:rsidRPr="009E515B">
              <w:rPr>
                <w:rFonts w:ascii="Arial" w:hAnsi="Arial" w:cs="Arial"/>
                <w:sz w:val="24"/>
                <w:szCs w:val="24"/>
              </w:rPr>
              <w:t xml:space="preserve">4. </w:t>
            </w:r>
            <w:r w:rsidR="006E3B43" w:rsidRPr="009E515B">
              <w:rPr>
                <w:rFonts w:ascii="Arial" w:hAnsi="Arial" w:cs="Arial"/>
                <w:sz w:val="24"/>
                <w:szCs w:val="24"/>
              </w:rPr>
              <w:t xml:space="preserve">Meeting: </w:t>
            </w:r>
            <w:r w:rsidR="006E3B43" w:rsidRPr="009E515B">
              <w:rPr>
                <w:rFonts w:ascii="Arial" w:eastAsia="Arial" w:hAnsi="Arial" w:cs="Arial"/>
                <w:sz w:val="24"/>
                <w:szCs w:val="24"/>
              </w:rPr>
              <w:t>June 20, 2023</w:t>
            </w:r>
          </w:p>
          <w:p w14:paraId="4BF6159E" w14:textId="77777777" w:rsidR="00AA0200" w:rsidRPr="009E515B" w:rsidRDefault="00AA0200" w:rsidP="006E3B43">
            <w:pPr>
              <w:rPr>
                <w:rFonts w:ascii="Arial" w:hAnsi="Arial" w:cs="Arial"/>
                <w:sz w:val="24"/>
                <w:szCs w:val="24"/>
              </w:rPr>
            </w:pPr>
          </w:p>
          <w:p w14:paraId="7D62444F" w14:textId="11334F71" w:rsidR="006E3B43" w:rsidRPr="009E515B" w:rsidRDefault="00AA0200" w:rsidP="006E3B43">
            <w:pPr>
              <w:rPr>
                <w:rFonts w:ascii="Arial" w:hAnsi="Arial" w:cs="Arial"/>
                <w:sz w:val="24"/>
                <w:szCs w:val="24"/>
              </w:rPr>
            </w:pPr>
            <w:r w:rsidRPr="009E515B">
              <w:rPr>
                <w:rFonts w:ascii="Arial" w:hAnsi="Arial" w:cs="Arial"/>
                <w:sz w:val="24"/>
                <w:szCs w:val="24"/>
              </w:rPr>
              <w:t>5</w:t>
            </w:r>
            <w:r w:rsidR="00565425" w:rsidRPr="009E515B">
              <w:rPr>
                <w:rFonts w:ascii="Arial" w:hAnsi="Arial" w:cs="Arial"/>
                <w:sz w:val="24"/>
                <w:szCs w:val="24"/>
              </w:rPr>
              <w:t xml:space="preserve">. </w:t>
            </w:r>
            <w:r w:rsidR="006E3B43" w:rsidRPr="009E515B">
              <w:rPr>
                <w:rFonts w:ascii="Arial" w:hAnsi="Arial" w:cs="Arial"/>
                <w:sz w:val="24"/>
                <w:szCs w:val="24"/>
              </w:rPr>
              <w:t>Laird, John. "Legislative Intent - Assembly Bill No. 1130." Letter to Dotson Wilson. 11 Sept. 2007. Journal of the Assembly, Legislature of the State of California, 2007-2008 Regular Session. Vol. 3. Sacramento: Chief Clerk of the California State Assembly, 2007-2008. 3427-3428. (ADA Compliant PDF)</w:t>
            </w:r>
          </w:p>
          <w:p w14:paraId="4C61B7DD" w14:textId="12C3D22A" w:rsidR="006E3B43" w:rsidRPr="009E515B" w:rsidRDefault="006E3B43" w:rsidP="006E3B43">
            <w:pPr>
              <w:rPr>
                <w:rFonts w:ascii="Arial" w:hAnsi="Arial" w:cs="Arial"/>
                <w:sz w:val="24"/>
                <w:szCs w:val="24"/>
              </w:rPr>
            </w:pPr>
            <w:r w:rsidRPr="009E515B">
              <w:rPr>
                <w:rFonts w:ascii="Arial" w:hAnsi="Arial" w:cs="Arial"/>
                <w:sz w:val="24"/>
                <w:szCs w:val="24"/>
              </w:rPr>
              <w:t>https://osfm.fire.ca.gov/media/qc2jrfwx/laird-letter-ab1130-2007-ada.pdf</w:t>
            </w:r>
          </w:p>
          <w:p w14:paraId="5BD77E5D" w14:textId="77777777" w:rsidR="006E3B43" w:rsidRPr="009E515B" w:rsidRDefault="006E3B43" w:rsidP="006E3B43">
            <w:pPr>
              <w:rPr>
                <w:rFonts w:ascii="Arial" w:hAnsi="Arial" w:cs="Arial"/>
                <w:sz w:val="24"/>
                <w:szCs w:val="24"/>
              </w:rPr>
            </w:pPr>
          </w:p>
          <w:p w14:paraId="751790E5" w14:textId="632D3A86" w:rsidR="006E3B43" w:rsidRPr="009E515B" w:rsidRDefault="00AA0200" w:rsidP="006E3B43">
            <w:pPr>
              <w:rPr>
                <w:rFonts w:ascii="Arial" w:hAnsi="Arial" w:cs="Arial"/>
                <w:sz w:val="24"/>
                <w:szCs w:val="24"/>
              </w:rPr>
            </w:pPr>
            <w:r w:rsidRPr="009E515B">
              <w:rPr>
                <w:rFonts w:ascii="Arial" w:hAnsi="Arial" w:cs="Arial"/>
                <w:sz w:val="24"/>
                <w:szCs w:val="24"/>
              </w:rPr>
              <w:t>6</w:t>
            </w:r>
            <w:r w:rsidR="00565425" w:rsidRPr="009E515B">
              <w:rPr>
                <w:rFonts w:ascii="Arial" w:hAnsi="Arial" w:cs="Arial"/>
                <w:sz w:val="24"/>
                <w:szCs w:val="24"/>
              </w:rPr>
              <w:t xml:space="preserve">. </w:t>
            </w:r>
            <w:r w:rsidR="006E3B43" w:rsidRPr="009E515B">
              <w:rPr>
                <w:rFonts w:ascii="Arial" w:hAnsi="Arial" w:cs="Arial"/>
                <w:sz w:val="24"/>
                <w:szCs w:val="24"/>
              </w:rPr>
              <w:t>United States Environmental Protection Agency, Office of Emergency Management.  SPCC Guidance for Regional Inspectors.  2013. https://www.epa.gov/oil-spills-prevention-and-preparedness-regulations/spcc-guidance-regional-inspectors</w:t>
            </w:r>
          </w:p>
          <w:p w14:paraId="241E9C9A" w14:textId="77777777" w:rsidR="006E3B43" w:rsidRPr="009E515B" w:rsidRDefault="006E3B43" w:rsidP="006E3B43">
            <w:pPr>
              <w:rPr>
                <w:rFonts w:ascii="Arial" w:hAnsi="Arial" w:cs="Arial"/>
                <w:sz w:val="24"/>
                <w:szCs w:val="24"/>
              </w:rPr>
            </w:pPr>
          </w:p>
          <w:p w14:paraId="1DBCBDCD" w14:textId="34195AF0" w:rsidR="006E3B43" w:rsidRPr="009E515B" w:rsidRDefault="00AA0200" w:rsidP="006E3B43">
            <w:pPr>
              <w:rPr>
                <w:rFonts w:ascii="Arial" w:hAnsi="Arial" w:cs="Arial"/>
                <w:sz w:val="24"/>
                <w:szCs w:val="24"/>
              </w:rPr>
            </w:pPr>
            <w:r w:rsidRPr="009E515B">
              <w:rPr>
                <w:rFonts w:ascii="Arial" w:hAnsi="Arial" w:cs="Arial"/>
                <w:sz w:val="24"/>
                <w:szCs w:val="24"/>
              </w:rPr>
              <w:t>7</w:t>
            </w:r>
            <w:r w:rsidR="00565425" w:rsidRPr="009E515B">
              <w:rPr>
                <w:rFonts w:ascii="Arial" w:hAnsi="Arial" w:cs="Arial"/>
                <w:sz w:val="24"/>
                <w:szCs w:val="24"/>
              </w:rPr>
              <w:t xml:space="preserve">. </w:t>
            </w:r>
            <w:r w:rsidR="006E3B43" w:rsidRPr="009E515B">
              <w:rPr>
                <w:rFonts w:ascii="Arial" w:hAnsi="Arial" w:cs="Arial"/>
                <w:sz w:val="24"/>
                <w:szCs w:val="24"/>
              </w:rPr>
              <w:t xml:space="preserve">Civil Penalty Policy for Section 311(b)(3) and Section 311(j) of the Clean Water Act (CWA), August 1998 | US EPA.  United States Environmental Protection Agency, Office of Enforcement and Compliance Assurance.  </w:t>
            </w:r>
          </w:p>
          <w:p w14:paraId="6CCA14F2" w14:textId="24F370F9" w:rsidR="006E3B43" w:rsidRPr="009E515B" w:rsidRDefault="003F74CA" w:rsidP="006E3B43">
            <w:pPr>
              <w:rPr>
                <w:rFonts w:ascii="Arial" w:hAnsi="Arial" w:cs="Arial"/>
                <w:sz w:val="24"/>
                <w:szCs w:val="24"/>
              </w:rPr>
            </w:pPr>
            <w:hyperlink r:id="rId10" w:history="1">
              <w:r w:rsidR="006E3B43" w:rsidRPr="009E515B">
                <w:rPr>
                  <w:rStyle w:val="Hyperlink"/>
                  <w:rFonts w:ascii="Arial" w:hAnsi="Arial" w:cs="Arial"/>
                  <w:color w:val="auto"/>
                  <w:sz w:val="24"/>
                  <w:szCs w:val="24"/>
                </w:rPr>
                <w:t>https://www.epa.gov/enforcement/civil-penalty-policy-section-311b3-and-section-311j-clean-water-act-cwa-august-1998</w:t>
              </w:r>
            </w:hyperlink>
          </w:p>
          <w:p w14:paraId="7B5F267D" w14:textId="77777777" w:rsidR="006E3B43" w:rsidRPr="009E515B" w:rsidRDefault="006E3B43" w:rsidP="006E3B43">
            <w:pPr>
              <w:rPr>
                <w:rFonts w:ascii="Arial" w:hAnsi="Arial" w:cs="Arial"/>
                <w:sz w:val="24"/>
                <w:szCs w:val="24"/>
              </w:rPr>
            </w:pPr>
          </w:p>
          <w:p w14:paraId="0822D668" w14:textId="6D5BF1FB" w:rsidR="006E3B43" w:rsidRPr="009E515B" w:rsidRDefault="006E3B43" w:rsidP="006E3B43">
            <w:pPr>
              <w:rPr>
                <w:rFonts w:ascii="Arial" w:hAnsi="Arial" w:cs="Arial"/>
                <w:sz w:val="24"/>
                <w:szCs w:val="24"/>
              </w:rPr>
            </w:pPr>
          </w:p>
        </w:tc>
      </w:tr>
      <w:tr w:rsidR="001349E3" w:rsidRPr="009E515B" w14:paraId="79A617FA" w14:textId="65981DB5" w:rsidTr="008B7FC3">
        <w:trPr>
          <w:trHeight w:val="4968"/>
        </w:trPr>
        <w:tc>
          <w:tcPr>
            <w:tcW w:w="10153" w:type="dxa"/>
          </w:tcPr>
          <w:p w14:paraId="767DAB81" w14:textId="57B0E65F" w:rsidR="006E3B43" w:rsidRPr="009E515B" w:rsidRDefault="006E3B43" w:rsidP="006E3B43">
            <w:pPr>
              <w:rPr>
                <w:rFonts w:ascii="Arial" w:eastAsia="Arial" w:hAnsi="Arial" w:cs="Arial"/>
                <w:b/>
                <w:bCs/>
                <w:spacing w:val="34"/>
                <w:sz w:val="24"/>
                <w:szCs w:val="24"/>
              </w:rPr>
            </w:pPr>
            <w:r w:rsidRPr="009E515B">
              <w:rPr>
                <w:rFonts w:ascii="Arial" w:eastAsia="Arial" w:hAnsi="Arial" w:cs="Arial"/>
                <w:b/>
                <w:bCs/>
                <w:spacing w:val="9"/>
                <w:sz w:val="24"/>
                <w:szCs w:val="24"/>
              </w:rPr>
              <w:lastRenderedPageBreak/>
              <w:t>A</w:t>
            </w:r>
            <w:r w:rsidRPr="009E515B">
              <w:rPr>
                <w:rFonts w:ascii="Arial" w:eastAsia="Arial" w:hAnsi="Arial" w:cs="Arial"/>
                <w:b/>
                <w:bCs/>
                <w:spacing w:val="17"/>
                <w:sz w:val="24"/>
                <w:szCs w:val="24"/>
              </w:rPr>
              <w:t>n</w:t>
            </w:r>
            <w:r w:rsidRPr="009E515B">
              <w:rPr>
                <w:rFonts w:ascii="Arial" w:eastAsia="Arial" w:hAnsi="Arial" w:cs="Arial"/>
                <w:b/>
                <w:bCs/>
                <w:spacing w:val="14"/>
                <w:sz w:val="24"/>
                <w:szCs w:val="24"/>
              </w:rPr>
              <w:t>t</w:t>
            </w:r>
            <w:r w:rsidRPr="009E515B">
              <w:rPr>
                <w:rFonts w:ascii="Arial" w:eastAsia="Arial" w:hAnsi="Arial" w:cs="Arial"/>
                <w:b/>
                <w:bCs/>
                <w:spacing w:val="15"/>
                <w:sz w:val="24"/>
                <w:szCs w:val="24"/>
              </w:rPr>
              <w:t>ic</w:t>
            </w:r>
            <w:r w:rsidRPr="009E515B">
              <w:rPr>
                <w:rFonts w:ascii="Arial" w:eastAsia="Arial" w:hAnsi="Arial" w:cs="Arial"/>
                <w:b/>
                <w:bCs/>
                <w:sz w:val="24"/>
                <w:szCs w:val="24"/>
              </w:rPr>
              <w:t>i</w:t>
            </w:r>
            <w:r w:rsidRPr="009E515B">
              <w:rPr>
                <w:rFonts w:ascii="Arial" w:eastAsia="Arial" w:hAnsi="Arial" w:cs="Arial"/>
                <w:b/>
                <w:bCs/>
                <w:spacing w:val="14"/>
                <w:sz w:val="24"/>
                <w:szCs w:val="24"/>
              </w:rPr>
              <w:t>p</w:t>
            </w:r>
            <w:r w:rsidRPr="009E515B">
              <w:rPr>
                <w:rFonts w:ascii="Arial" w:eastAsia="Arial" w:hAnsi="Arial" w:cs="Arial"/>
                <w:b/>
                <w:bCs/>
                <w:spacing w:val="15"/>
                <w:sz w:val="24"/>
                <w:szCs w:val="24"/>
              </w:rPr>
              <w:t>a</w:t>
            </w:r>
            <w:r w:rsidRPr="009E515B">
              <w:rPr>
                <w:rFonts w:ascii="Arial" w:eastAsia="Arial" w:hAnsi="Arial" w:cs="Arial"/>
                <w:b/>
                <w:bCs/>
                <w:spacing w:val="14"/>
                <w:sz w:val="24"/>
                <w:szCs w:val="24"/>
              </w:rPr>
              <w:t>t</w:t>
            </w:r>
            <w:r w:rsidRPr="009E515B">
              <w:rPr>
                <w:rFonts w:ascii="Arial" w:eastAsia="Arial" w:hAnsi="Arial" w:cs="Arial"/>
                <w:b/>
                <w:bCs/>
                <w:spacing w:val="15"/>
                <w:sz w:val="24"/>
                <w:szCs w:val="24"/>
              </w:rPr>
              <w:t>e</w:t>
            </w:r>
            <w:r w:rsidRPr="009E515B">
              <w:rPr>
                <w:rFonts w:ascii="Arial" w:eastAsia="Arial" w:hAnsi="Arial" w:cs="Arial"/>
                <w:b/>
                <w:bCs/>
                <w:sz w:val="24"/>
                <w:szCs w:val="24"/>
              </w:rPr>
              <w:t>d</w:t>
            </w:r>
            <w:r w:rsidRPr="009E515B">
              <w:rPr>
                <w:rFonts w:ascii="Arial" w:eastAsia="Arial" w:hAnsi="Arial" w:cs="Arial"/>
                <w:b/>
                <w:bCs/>
                <w:spacing w:val="31"/>
                <w:sz w:val="24"/>
                <w:szCs w:val="24"/>
              </w:rPr>
              <w:t xml:space="preserve"> </w:t>
            </w:r>
            <w:r w:rsidRPr="009E515B">
              <w:rPr>
                <w:rFonts w:ascii="Arial" w:eastAsia="Arial" w:hAnsi="Arial" w:cs="Arial"/>
                <w:b/>
                <w:bCs/>
                <w:spacing w:val="14"/>
                <w:sz w:val="24"/>
                <w:szCs w:val="24"/>
              </w:rPr>
              <w:t>b</w:t>
            </w:r>
            <w:r w:rsidRPr="009E515B">
              <w:rPr>
                <w:rFonts w:ascii="Arial" w:eastAsia="Arial" w:hAnsi="Arial" w:cs="Arial"/>
                <w:b/>
                <w:bCs/>
                <w:spacing w:val="15"/>
                <w:sz w:val="24"/>
                <w:szCs w:val="24"/>
              </w:rPr>
              <w:t>e</w:t>
            </w:r>
            <w:r w:rsidRPr="009E515B">
              <w:rPr>
                <w:rFonts w:ascii="Arial" w:eastAsia="Arial" w:hAnsi="Arial" w:cs="Arial"/>
                <w:b/>
                <w:bCs/>
                <w:spacing w:val="17"/>
                <w:sz w:val="24"/>
                <w:szCs w:val="24"/>
              </w:rPr>
              <w:t>n</w:t>
            </w:r>
            <w:r w:rsidRPr="009E515B">
              <w:rPr>
                <w:rFonts w:ascii="Arial" w:eastAsia="Arial" w:hAnsi="Arial" w:cs="Arial"/>
                <w:b/>
                <w:bCs/>
                <w:spacing w:val="15"/>
                <w:sz w:val="24"/>
                <w:szCs w:val="24"/>
              </w:rPr>
              <w:t>e</w:t>
            </w:r>
            <w:r w:rsidRPr="009E515B">
              <w:rPr>
                <w:rFonts w:ascii="Arial" w:eastAsia="Arial" w:hAnsi="Arial" w:cs="Arial"/>
                <w:b/>
                <w:bCs/>
                <w:spacing w:val="14"/>
                <w:sz w:val="24"/>
                <w:szCs w:val="24"/>
              </w:rPr>
              <w:t>f</w:t>
            </w:r>
            <w:r w:rsidRPr="009E515B">
              <w:rPr>
                <w:rFonts w:ascii="Arial" w:eastAsia="Arial" w:hAnsi="Arial" w:cs="Arial"/>
                <w:b/>
                <w:bCs/>
                <w:spacing w:val="15"/>
                <w:sz w:val="24"/>
                <w:szCs w:val="24"/>
              </w:rPr>
              <w:t>i</w:t>
            </w:r>
            <w:r w:rsidRPr="009E515B">
              <w:rPr>
                <w:rFonts w:ascii="Arial" w:eastAsia="Arial" w:hAnsi="Arial" w:cs="Arial"/>
                <w:b/>
                <w:bCs/>
                <w:spacing w:val="14"/>
                <w:sz w:val="24"/>
                <w:szCs w:val="24"/>
              </w:rPr>
              <w:t>t</w:t>
            </w:r>
            <w:r w:rsidRPr="009E515B">
              <w:rPr>
                <w:rFonts w:ascii="Arial" w:eastAsia="Arial" w:hAnsi="Arial" w:cs="Arial"/>
                <w:b/>
                <w:bCs/>
                <w:sz w:val="24"/>
                <w:szCs w:val="24"/>
              </w:rPr>
              <w:t>s</w:t>
            </w:r>
            <w:r w:rsidRPr="009E515B">
              <w:rPr>
                <w:rFonts w:ascii="Arial" w:eastAsia="Arial" w:hAnsi="Arial" w:cs="Arial"/>
                <w:b/>
                <w:bCs/>
                <w:spacing w:val="30"/>
                <w:sz w:val="24"/>
                <w:szCs w:val="24"/>
              </w:rPr>
              <w:t xml:space="preserve"> </w:t>
            </w:r>
            <w:r w:rsidRPr="009E515B">
              <w:rPr>
                <w:rFonts w:ascii="Arial" w:eastAsia="Arial" w:hAnsi="Arial" w:cs="Arial"/>
                <w:b/>
                <w:bCs/>
                <w:spacing w:val="16"/>
                <w:sz w:val="24"/>
                <w:szCs w:val="24"/>
              </w:rPr>
              <w:t>f</w:t>
            </w:r>
            <w:r w:rsidRPr="009E515B">
              <w:rPr>
                <w:rFonts w:ascii="Arial" w:eastAsia="Arial" w:hAnsi="Arial" w:cs="Arial"/>
                <w:b/>
                <w:bCs/>
                <w:spacing w:val="15"/>
                <w:sz w:val="24"/>
                <w:szCs w:val="24"/>
              </w:rPr>
              <w:t>r</w:t>
            </w:r>
            <w:r w:rsidRPr="009E515B">
              <w:rPr>
                <w:rFonts w:ascii="Arial" w:eastAsia="Arial" w:hAnsi="Arial" w:cs="Arial"/>
                <w:b/>
                <w:bCs/>
                <w:spacing w:val="14"/>
                <w:sz w:val="24"/>
                <w:szCs w:val="24"/>
              </w:rPr>
              <w:t>o</w:t>
            </w:r>
            <w:r w:rsidRPr="009E515B">
              <w:rPr>
                <w:rFonts w:ascii="Arial" w:eastAsia="Arial" w:hAnsi="Arial" w:cs="Arial"/>
                <w:b/>
                <w:bCs/>
                <w:sz w:val="24"/>
                <w:szCs w:val="24"/>
              </w:rPr>
              <w:t>m</w:t>
            </w:r>
            <w:r w:rsidRPr="009E515B">
              <w:rPr>
                <w:rFonts w:ascii="Arial" w:eastAsia="Arial" w:hAnsi="Arial" w:cs="Arial"/>
                <w:b/>
                <w:bCs/>
                <w:spacing w:val="32"/>
                <w:sz w:val="24"/>
                <w:szCs w:val="24"/>
              </w:rPr>
              <w:t xml:space="preserve"> </w:t>
            </w:r>
            <w:r w:rsidRPr="009E515B">
              <w:rPr>
                <w:rFonts w:ascii="Arial" w:eastAsia="Arial" w:hAnsi="Arial" w:cs="Arial"/>
                <w:b/>
                <w:bCs/>
                <w:spacing w:val="14"/>
                <w:sz w:val="24"/>
                <w:szCs w:val="24"/>
              </w:rPr>
              <w:t>th</w:t>
            </w:r>
            <w:r w:rsidRPr="009E515B">
              <w:rPr>
                <w:rFonts w:ascii="Arial" w:eastAsia="Arial" w:hAnsi="Arial" w:cs="Arial"/>
                <w:b/>
                <w:bCs/>
                <w:spacing w:val="15"/>
                <w:sz w:val="24"/>
                <w:szCs w:val="24"/>
              </w:rPr>
              <w:t>i</w:t>
            </w:r>
            <w:r w:rsidRPr="009E515B">
              <w:rPr>
                <w:rFonts w:ascii="Arial" w:eastAsia="Arial" w:hAnsi="Arial" w:cs="Arial"/>
                <w:b/>
                <w:bCs/>
                <w:sz w:val="24"/>
                <w:szCs w:val="24"/>
              </w:rPr>
              <w:t>s</w:t>
            </w:r>
            <w:r w:rsidRPr="009E515B">
              <w:rPr>
                <w:rFonts w:ascii="Arial" w:eastAsia="Arial" w:hAnsi="Arial" w:cs="Arial"/>
                <w:b/>
                <w:bCs/>
                <w:spacing w:val="30"/>
                <w:sz w:val="24"/>
                <w:szCs w:val="24"/>
              </w:rPr>
              <w:t xml:space="preserve"> </w:t>
            </w:r>
            <w:r w:rsidRPr="009E515B">
              <w:rPr>
                <w:rFonts w:ascii="Arial" w:eastAsia="Arial" w:hAnsi="Arial" w:cs="Arial"/>
                <w:b/>
                <w:bCs/>
                <w:spacing w:val="15"/>
                <w:sz w:val="24"/>
                <w:szCs w:val="24"/>
              </w:rPr>
              <w:t>re</w:t>
            </w:r>
            <w:r w:rsidRPr="009E515B">
              <w:rPr>
                <w:rFonts w:ascii="Arial" w:eastAsia="Arial" w:hAnsi="Arial" w:cs="Arial"/>
                <w:b/>
                <w:bCs/>
                <w:spacing w:val="17"/>
                <w:sz w:val="24"/>
                <w:szCs w:val="24"/>
              </w:rPr>
              <w:t>g</w:t>
            </w:r>
            <w:r w:rsidRPr="009E515B">
              <w:rPr>
                <w:rFonts w:ascii="Arial" w:eastAsia="Arial" w:hAnsi="Arial" w:cs="Arial"/>
                <w:b/>
                <w:bCs/>
                <w:spacing w:val="14"/>
                <w:sz w:val="24"/>
                <w:szCs w:val="24"/>
              </w:rPr>
              <w:t>u</w:t>
            </w:r>
            <w:r w:rsidRPr="009E515B">
              <w:rPr>
                <w:rFonts w:ascii="Arial" w:eastAsia="Arial" w:hAnsi="Arial" w:cs="Arial"/>
                <w:b/>
                <w:bCs/>
                <w:spacing w:val="15"/>
                <w:sz w:val="24"/>
                <w:szCs w:val="24"/>
              </w:rPr>
              <w:t>la</w:t>
            </w:r>
            <w:r w:rsidRPr="009E515B">
              <w:rPr>
                <w:rFonts w:ascii="Arial" w:eastAsia="Arial" w:hAnsi="Arial" w:cs="Arial"/>
                <w:b/>
                <w:bCs/>
                <w:spacing w:val="14"/>
                <w:sz w:val="24"/>
                <w:szCs w:val="24"/>
              </w:rPr>
              <w:t>to</w:t>
            </w:r>
            <w:r w:rsidRPr="009E515B">
              <w:rPr>
                <w:rFonts w:ascii="Arial" w:eastAsia="Arial" w:hAnsi="Arial" w:cs="Arial"/>
                <w:b/>
                <w:bCs/>
                <w:sz w:val="24"/>
                <w:szCs w:val="24"/>
              </w:rPr>
              <w:t>ry</w:t>
            </w:r>
            <w:r w:rsidRPr="009E515B">
              <w:rPr>
                <w:rFonts w:ascii="Arial" w:eastAsia="Arial" w:hAnsi="Arial" w:cs="Arial"/>
                <w:b/>
                <w:bCs/>
                <w:spacing w:val="25"/>
                <w:sz w:val="24"/>
                <w:szCs w:val="24"/>
              </w:rPr>
              <w:t xml:space="preserve"> </w:t>
            </w:r>
            <w:r w:rsidRPr="009E515B">
              <w:rPr>
                <w:rFonts w:ascii="Arial" w:eastAsia="Arial" w:hAnsi="Arial" w:cs="Arial"/>
                <w:b/>
                <w:bCs/>
                <w:spacing w:val="15"/>
                <w:sz w:val="24"/>
                <w:szCs w:val="24"/>
              </w:rPr>
              <w:t>a</w:t>
            </w:r>
            <w:r w:rsidRPr="009E515B">
              <w:rPr>
                <w:rFonts w:ascii="Arial" w:eastAsia="Arial" w:hAnsi="Arial" w:cs="Arial"/>
                <w:b/>
                <w:bCs/>
                <w:sz w:val="24"/>
                <w:szCs w:val="24"/>
              </w:rPr>
              <w:t>c</w:t>
            </w:r>
            <w:r w:rsidRPr="009E515B">
              <w:rPr>
                <w:rFonts w:ascii="Arial" w:eastAsia="Arial" w:hAnsi="Arial" w:cs="Arial"/>
                <w:b/>
                <w:bCs/>
                <w:spacing w:val="14"/>
                <w:sz w:val="24"/>
                <w:szCs w:val="24"/>
              </w:rPr>
              <w:t>t</w:t>
            </w:r>
            <w:r w:rsidRPr="009E515B">
              <w:rPr>
                <w:rFonts w:ascii="Arial" w:eastAsia="Arial" w:hAnsi="Arial" w:cs="Arial"/>
                <w:b/>
                <w:bCs/>
                <w:spacing w:val="15"/>
                <w:sz w:val="24"/>
                <w:szCs w:val="24"/>
              </w:rPr>
              <w:t>i</w:t>
            </w:r>
            <w:r w:rsidRPr="009E515B">
              <w:rPr>
                <w:rFonts w:ascii="Arial" w:eastAsia="Arial" w:hAnsi="Arial" w:cs="Arial"/>
                <w:b/>
                <w:bCs/>
                <w:spacing w:val="14"/>
                <w:sz w:val="24"/>
                <w:szCs w:val="24"/>
              </w:rPr>
              <w:t>on</w:t>
            </w:r>
            <w:r w:rsidRPr="009E515B">
              <w:rPr>
                <w:rFonts w:ascii="Arial" w:eastAsia="Arial" w:hAnsi="Arial" w:cs="Arial"/>
                <w:b/>
                <w:bCs/>
                <w:sz w:val="24"/>
                <w:szCs w:val="24"/>
              </w:rPr>
              <w:t>:</w:t>
            </w:r>
            <w:r w:rsidRPr="009E515B">
              <w:rPr>
                <w:rFonts w:ascii="Arial" w:eastAsia="Arial" w:hAnsi="Arial" w:cs="Arial"/>
                <w:b/>
                <w:bCs/>
                <w:spacing w:val="34"/>
                <w:sz w:val="24"/>
                <w:szCs w:val="24"/>
              </w:rPr>
              <w:t xml:space="preserve"> </w:t>
            </w:r>
          </w:p>
          <w:p w14:paraId="2808B9E8" w14:textId="286A9BC7" w:rsidR="006E3B43" w:rsidRPr="009E515B" w:rsidRDefault="006E3B43" w:rsidP="006E3B43">
            <w:pPr>
              <w:rPr>
                <w:rFonts w:ascii="Arial" w:hAnsi="Arial" w:cs="Arial"/>
                <w:sz w:val="24"/>
                <w:szCs w:val="24"/>
              </w:rPr>
            </w:pPr>
            <w:r w:rsidRPr="009E515B">
              <w:rPr>
                <w:rFonts w:ascii="Arial" w:hAnsi="Arial" w:cs="Arial"/>
                <w:sz w:val="24"/>
                <w:szCs w:val="24"/>
              </w:rPr>
              <w:t xml:space="preserve">This regulatory proposal supports compliance with State law and Federal regulations, enhances public safety, and protects California’s environment, by reducing the risk of future petroleum releases from aboveground storage tanks (AST). </w:t>
            </w:r>
          </w:p>
          <w:p w14:paraId="07831B63" w14:textId="77777777" w:rsidR="00565425" w:rsidRPr="009E515B" w:rsidRDefault="00565425" w:rsidP="006E3B43">
            <w:pPr>
              <w:rPr>
                <w:rFonts w:ascii="Arial" w:hAnsi="Arial" w:cs="Arial"/>
                <w:bCs/>
                <w:sz w:val="24"/>
                <w:szCs w:val="24"/>
              </w:rPr>
            </w:pPr>
          </w:p>
          <w:p w14:paraId="4416A2DD" w14:textId="3882A866" w:rsidR="006E3B43" w:rsidRPr="009E515B" w:rsidRDefault="006E3B43" w:rsidP="006E3B43">
            <w:pPr>
              <w:rPr>
                <w:rFonts w:ascii="Arial" w:hAnsi="Arial" w:cs="Arial"/>
                <w:sz w:val="24"/>
                <w:szCs w:val="24"/>
              </w:rPr>
            </w:pPr>
            <w:r w:rsidRPr="009E515B">
              <w:rPr>
                <w:rFonts w:ascii="Arial" w:hAnsi="Arial" w:cs="Arial"/>
                <w:bCs/>
                <w:sz w:val="24"/>
                <w:szCs w:val="24"/>
              </w:rPr>
              <w:t xml:space="preserve">This regulatory proposal benefits the approximately 81 local </w:t>
            </w:r>
            <w:proofErr w:type="gramStart"/>
            <w:r w:rsidRPr="009E515B">
              <w:rPr>
                <w:rFonts w:ascii="Arial" w:hAnsi="Arial" w:cs="Arial"/>
                <w:bCs/>
                <w:sz w:val="24"/>
                <w:szCs w:val="24"/>
              </w:rPr>
              <w:t>UPAs</w:t>
            </w:r>
            <w:proofErr w:type="gramEnd"/>
            <w:r w:rsidRPr="009E515B">
              <w:rPr>
                <w:rFonts w:ascii="Arial" w:hAnsi="Arial" w:cs="Arial"/>
                <w:bCs/>
                <w:sz w:val="24"/>
                <w:szCs w:val="24"/>
              </w:rPr>
              <w:t xml:space="preserve"> by clarifying their roles in implementing the APSA. </w:t>
            </w:r>
            <w:r w:rsidRPr="009E515B">
              <w:rPr>
                <w:rFonts w:ascii="Arial" w:hAnsi="Arial" w:cs="Arial"/>
                <w:sz w:val="24"/>
                <w:szCs w:val="24"/>
              </w:rPr>
              <w:t xml:space="preserve">This proposed regulation will assist in consistent implementation and enforcement of the APSA by the UPAs throughout the State of California </w:t>
            </w:r>
          </w:p>
          <w:p w14:paraId="6167AC4E" w14:textId="77777777" w:rsidR="00565425" w:rsidRPr="009E515B" w:rsidRDefault="00565425" w:rsidP="006E3B43">
            <w:pPr>
              <w:rPr>
                <w:rFonts w:ascii="Arial" w:hAnsi="Arial" w:cs="Arial"/>
                <w:sz w:val="24"/>
                <w:szCs w:val="24"/>
              </w:rPr>
            </w:pPr>
          </w:p>
          <w:p w14:paraId="780D5B39" w14:textId="4BBE5FA2" w:rsidR="006E3B43" w:rsidRPr="009E515B" w:rsidRDefault="006E3B43" w:rsidP="006E3B43">
            <w:pPr>
              <w:rPr>
                <w:rFonts w:ascii="Arial" w:hAnsi="Arial" w:cs="Arial"/>
                <w:sz w:val="24"/>
                <w:szCs w:val="24"/>
              </w:rPr>
            </w:pPr>
            <w:r w:rsidRPr="009E515B">
              <w:rPr>
                <w:rFonts w:ascii="Arial" w:hAnsi="Arial" w:cs="Arial"/>
                <w:sz w:val="24"/>
                <w:szCs w:val="24"/>
              </w:rPr>
              <w:t xml:space="preserve">These minimum regulations provide resources and tools to enhance enforcement of the and public participation in APSA implementation, supporting the goal that each regulated tank facility is compliant with APSA.  </w:t>
            </w:r>
          </w:p>
          <w:p w14:paraId="73BE5145" w14:textId="77777777" w:rsidR="00565425" w:rsidRPr="009E515B" w:rsidRDefault="00565425" w:rsidP="006E3B43">
            <w:pPr>
              <w:rPr>
                <w:rFonts w:ascii="Arial" w:hAnsi="Arial" w:cs="Arial"/>
                <w:sz w:val="24"/>
                <w:szCs w:val="24"/>
              </w:rPr>
            </w:pPr>
          </w:p>
          <w:p w14:paraId="7FC42D71" w14:textId="067C9DD2" w:rsidR="006E3B43" w:rsidRPr="009E515B" w:rsidRDefault="006E3B43" w:rsidP="006E3B43">
            <w:pPr>
              <w:rPr>
                <w:rFonts w:ascii="Arial" w:hAnsi="Arial" w:cs="Arial"/>
                <w:sz w:val="24"/>
                <w:szCs w:val="24"/>
              </w:rPr>
            </w:pPr>
            <w:r w:rsidRPr="009E515B">
              <w:rPr>
                <w:rFonts w:ascii="Arial" w:hAnsi="Arial" w:cs="Arial"/>
                <w:bCs/>
                <w:sz w:val="24"/>
                <w:szCs w:val="24"/>
              </w:rPr>
              <w:t>This proposal will benefit the</w:t>
            </w:r>
            <w:r w:rsidRPr="009E515B">
              <w:rPr>
                <w:rFonts w:ascii="Arial" w:hAnsi="Arial" w:cs="Arial"/>
                <w:sz w:val="24"/>
                <w:szCs w:val="24"/>
              </w:rPr>
              <w:t xml:space="preserve"> public safety of the people of California, as well as the natural resources of the State of California, by clear and straightforward guidance for ensuring that regulated facilities have an SPCC plan or other applicable measures in place, and, thereby, preventing or reducing incidence and damage from the inherent hazards and dangers that may potentially occur from such facilities, such as petroleum discharges or releases.  </w:t>
            </w:r>
          </w:p>
          <w:p w14:paraId="6F31B0CF" w14:textId="616877AE" w:rsidR="00E179F4" w:rsidRPr="009E515B" w:rsidRDefault="00E179F4" w:rsidP="00E179F4">
            <w:pPr>
              <w:rPr>
                <w:rFonts w:ascii="Arial" w:hAnsi="Arial" w:cs="Arial"/>
                <w:sz w:val="24"/>
                <w:szCs w:val="24"/>
              </w:rPr>
            </w:pPr>
          </w:p>
        </w:tc>
      </w:tr>
      <w:tr w:rsidR="001349E3" w:rsidRPr="009E515B" w14:paraId="4B5B8256" w14:textId="158FA460" w:rsidTr="008B7FC3">
        <w:trPr>
          <w:trHeight w:val="2560"/>
        </w:trPr>
        <w:tc>
          <w:tcPr>
            <w:tcW w:w="10153" w:type="dxa"/>
          </w:tcPr>
          <w:p w14:paraId="5B949A21" w14:textId="22DA3544" w:rsidR="006E3B43" w:rsidRPr="009E515B" w:rsidRDefault="006E3B43" w:rsidP="006E3B43">
            <w:pPr>
              <w:rPr>
                <w:rFonts w:ascii="Arial" w:eastAsia="Arial" w:hAnsi="Arial" w:cs="Arial"/>
                <w:b/>
                <w:bCs/>
                <w:sz w:val="24"/>
                <w:szCs w:val="24"/>
              </w:rPr>
            </w:pPr>
            <w:r w:rsidRPr="009E515B">
              <w:rPr>
                <w:rFonts w:ascii="Arial" w:eastAsia="Arial" w:hAnsi="Arial" w:cs="Arial"/>
                <w:b/>
                <w:bCs/>
                <w:sz w:val="24"/>
                <w:szCs w:val="24"/>
              </w:rPr>
              <w:t>Small Business Determination</w:t>
            </w:r>
          </w:p>
          <w:p w14:paraId="2236942D" w14:textId="4EBBE205" w:rsidR="006E3B43" w:rsidRPr="009E515B" w:rsidRDefault="006E3B43" w:rsidP="006E3B43">
            <w:pPr>
              <w:rPr>
                <w:rFonts w:ascii="Arial" w:eastAsia="Arial" w:hAnsi="Arial" w:cs="Arial"/>
                <w:sz w:val="24"/>
                <w:szCs w:val="24"/>
              </w:rPr>
            </w:pPr>
            <w:r w:rsidRPr="009E515B">
              <w:rPr>
                <w:rFonts w:ascii="Arial" w:eastAsia="Arial" w:hAnsi="Arial" w:cs="Arial"/>
                <w:sz w:val="24"/>
                <w:szCs w:val="24"/>
              </w:rPr>
              <w:t xml:space="preserve">Businesses may self-identify as part of their public participation in the regulatory process. However, the public safety requirements of this program do not require disclosure of business details which would identify a “small business,” as it is defined by Government Code 11342.610. </w:t>
            </w:r>
          </w:p>
          <w:p w14:paraId="693A64A6" w14:textId="00341FD5" w:rsidR="006E3B43" w:rsidRPr="009E515B" w:rsidRDefault="006E3B43" w:rsidP="006E3B43">
            <w:pPr>
              <w:rPr>
                <w:rFonts w:ascii="Arial" w:eastAsia="Arial" w:hAnsi="Arial" w:cs="Arial"/>
                <w:sz w:val="24"/>
                <w:szCs w:val="24"/>
              </w:rPr>
            </w:pPr>
          </w:p>
          <w:p w14:paraId="40ABF3A8" w14:textId="77777777" w:rsidR="00CA723A" w:rsidRPr="009E515B" w:rsidRDefault="006E3B43" w:rsidP="00CA723A">
            <w:pPr>
              <w:rPr>
                <w:rFonts w:ascii="Arial" w:eastAsia="Arial" w:hAnsi="Arial" w:cs="Arial"/>
                <w:sz w:val="24"/>
                <w:szCs w:val="24"/>
              </w:rPr>
            </w:pPr>
            <w:r w:rsidRPr="009E515B">
              <w:rPr>
                <w:rFonts w:ascii="Arial" w:eastAsia="Arial" w:hAnsi="Arial" w:cs="Arial"/>
                <w:sz w:val="24"/>
                <w:szCs w:val="24"/>
              </w:rPr>
              <w:t>Due to the lack of information for analysis purposes, the OSFM has determined that the proposed regulations have no “substantial” effect to small business and therefore the OSFM has not identified any alternatives that would lessen any adverse impact on small business and still fulfill the public safety purpose of the program.</w:t>
            </w:r>
          </w:p>
          <w:p w14:paraId="72624F59" w14:textId="640F3444" w:rsidR="00CA723A" w:rsidRPr="009E515B" w:rsidRDefault="00CA723A" w:rsidP="00CA723A">
            <w:pPr>
              <w:tabs>
                <w:tab w:val="left" w:pos="1640"/>
              </w:tabs>
              <w:rPr>
                <w:rFonts w:ascii="Arial" w:eastAsia="Arial" w:hAnsi="Arial" w:cs="Arial"/>
                <w:sz w:val="24"/>
                <w:szCs w:val="24"/>
              </w:rPr>
            </w:pPr>
          </w:p>
        </w:tc>
      </w:tr>
      <w:tr w:rsidR="001349E3" w:rsidRPr="009E515B" w14:paraId="410384D1" w14:textId="5DB583D6" w:rsidTr="008B7FC3">
        <w:tc>
          <w:tcPr>
            <w:tcW w:w="10153" w:type="dxa"/>
          </w:tcPr>
          <w:p w14:paraId="3A0883F6" w14:textId="68252A28" w:rsidR="006E3B43" w:rsidRPr="009E515B" w:rsidRDefault="006E3B43" w:rsidP="009E515B">
            <w:pPr>
              <w:pStyle w:val="NoSpacing"/>
              <w:rPr>
                <w:rFonts w:ascii="Arial" w:hAnsi="Arial" w:cs="Arial"/>
                <w:sz w:val="24"/>
                <w:szCs w:val="24"/>
              </w:rPr>
            </w:pPr>
            <w:r w:rsidRPr="009E515B">
              <w:rPr>
                <w:rFonts w:ascii="Arial" w:hAnsi="Arial" w:cs="Arial"/>
                <w:sz w:val="24"/>
                <w:szCs w:val="24"/>
              </w:rPr>
              <w:t xml:space="preserve">Alternatives that are less burdensome and equally effective in achieving the purposes of the statute. </w:t>
            </w:r>
          </w:p>
          <w:p w14:paraId="283EFEFC" w14:textId="12B95446" w:rsidR="006E3B43" w:rsidRPr="009E515B" w:rsidRDefault="006E3B43" w:rsidP="009E515B">
            <w:pPr>
              <w:pStyle w:val="NoSpacing"/>
              <w:rPr>
                <w:rFonts w:ascii="Arial" w:hAnsi="Arial" w:cs="Arial"/>
                <w:sz w:val="24"/>
                <w:szCs w:val="24"/>
              </w:rPr>
            </w:pPr>
            <w:r w:rsidRPr="009E515B">
              <w:rPr>
                <w:rFonts w:ascii="Arial" w:hAnsi="Arial" w:cs="Arial"/>
                <w:sz w:val="24"/>
                <w:szCs w:val="24"/>
              </w:rPr>
              <w:t>The OSFM staff</w:t>
            </w:r>
            <w:r w:rsidR="001349E3" w:rsidRPr="009E515B">
              <w:rPr>
                <w:rFonts w:ascii="Arial" w:hAnsi="Arial" w:cs="Arial"/>
                <w:sz w:val="24"/>
                <w:szCs w:val="24"/>
              </w:rPr>
              <w:t xml:space="preserve"> and the Advisory Committee</w:t>
            </w:r>
            <w:r w:rsidRPr="009E515B">
              <w:rPr>
                <w:rFonts w:ascii="Arial" w:hAnsi="Arial" w:cs="Arial"/>
                <w:sz w:val="24"/>
                <w:szCs w:val="24"/>
              </w:rPr>
              <w:t xml:space="preserve"> has thoroughly reviewed this proposed regulatory action, including both the positive and negative impacts it will place upon the local government and industry.  </w:t>
            </w:r>
          </w:p>
          <w:p w14:paraId="4DB094D4" w14:textId="77777777" w:rsidR="006E3B43" w:rsidRPr="009E515B" w:rsidRDefault="006E3B43" w:rsidP="009E515B">
            <w:pPr>
              <w:pStyle w:val="NoSpacing"/>
              <w:rPr>
                <w:rFonts w:ascii="Arial" w:hAnsi="Arial" w:cs="Arial"/>
                <w:sz w:val="24"/>
                <w:szCs w:val="24"/>
              </w:rPr>
            </w:pPr>
          </w:p>
          <w:p w14:paraId="49F91D7D" w14:textId="77777777" w:rsidR="006E3B43" w:rsidRPr="009E515B" w:rsidRDefault="006E3B43" w:rsidP="009E515B">
            <w:pPr>
              <w:pStyle w:val="NoSpacing"/>
              <w:rPr>
                <w:rFonts w:ascii="Arial" w:hAnsi="Arial" w:cs="Arial"/>
                <w:sz w:val="24"/>
                <w:szCs w:val="24"/>
              </w:rPr>
            </w:pPr>
            <w:r w:rsidRPr="009E515B">
              <w:rPr>
                <w:rFonts w:ascii="Arial" w:hAnsi="Arial" w:cs="Arial"/>
                <w:sz w:val="24"/>
                <w:szCs w:val="24"/>
              </w:rPr>
              <w:t xml:space="preserve">No alternatives considered by the State Fire </w:t>
            </w:r>
            <w:proofErr w:type="gramStart"/>
            <w:r w:rsidRPr="009E515B">
              <w:rPr>
                <w:rFonts w:ascii="Arial" w:hAnsi="Arial" w:cs="Arial"/>
                <w:sz w:val="24"/>
                <w:szCs w:val="24"/>
              </w:rPr>
              <w:t>Marshal  OSFM</w:t>
            </w:r>
            <w:proofErr w:type="gramEnd"/>
            <w:r w:rsidRPr="009E515B">
              <w:rPr>
                <w:rFonts w:ascii="Arial" w:hAnsi="Arial" w:cs="Arial"/>
                <w:sz w:val="24"/>
                <w:szCs w:val="24"/>
              </w:rPr>
              <w:t xml:space="preserve"> would be more effective in carrying out the purpose of the proposed regulations or be less burdensome to the affected parties than this proposed regulation.  </w:t>
            </w:r>
          </w:p>
          <w:p w14:paraId="6F5EF053" w14:textId="77777777" w:rsidR="006E3B43" w:rsidRPr="009E515B" w:rsidRDefault="006E3B43" w:rsidP="009E515B">
            <w:pPr>
              <w:pStyle w:val="NoSpacing"/>
              <w:rPr>
                <w:rFonts w:ascii="Arial" w:hAnsi="Arial" w:cs="Arial"/>
                <w:sz w:val="24"/>
                <w:szCs w:val="24"/>
              </w:rPr>
            </w:pPr>
          </w:p>
          <w:p w14:paraId="4E4BC780" w14:textId="77777777" w:rsidR="006E3B43" w:rsidRPr="009E515B" w:rsidRDefault="006E3B43" w:rsidP="009E515B">
            <w:pPr>
              <w:pStyle w:val="NoSpacing"/>
              <w:rPr>
                <w:rFonts w:ascii="Arial" w:hAnsi="Arial" w:cs="Arial"/>
                <w:sz w:val="24"/>
                <w:szCs w:val="24"/>
              </w:rPr>
            </w:pPr>
            <w:r w:rsidRPr="009E515B">
              <w:rPr>
                <w:rFonts w:ascii="Arial" w:hAnsi="Arial" w:cs="Arial"/>
                <w:sz w:val="24"/>
                <w:szCs w:val="24"/>
              </w:rPr>
              <w:t xml:space="preserve">The OSFM has determined that no reasonable alternative it considered to the regulations or that has otherwise been identified and brought to its attention would be more effective in carrying out the purpose for which the action is proposed nor would they be as effective.  </w:t>
            </w:r>
          </w:p>
          <w:p w14:paraId="7895A14B" w14:textId="77777777" w:rsidR="006E3B43" w:rsidRPr="009E515B" w:rsidRDefault="006E3B43" w:rsidP="009E515B">
            <w:pPr>
              <w:pStyle w:val="NoSpacing"/>
              <w:rPr>
                <w:rFonts w:ascii="Arial" w:hAnsi="Arial" w:cs="Arial"/>
                <w:sz w:val="24"/>
                <w:szCs w:val="24"/>
              </w:rPr>
            </w:pPr>
          </w:p>
          <w:p w14:paraId="1BCFAC3D" w14:textId="6AE2AB63" w:rsidR="006E3B43" w:rsidRPr="009E515B" w:rsidRDefault="006E3B43" w:rsidP="009E515B">
            <w:pPr>
              <w:pStyle w:val="NoSpacing"/>
              <w:rPr>
                <w:rFonts w:ascii="Arial" w:hAnsi="Arial" w:cs="Arial"/>
                <w:sz w:val="24"/>
                <w:szCs w:val="24"/>
              </w:rPr>
            </w:pPr>
            <w:r w:rsidRPr="009E515B">
              <w:rPr>
                <w:rFonts w:ascii="Arial" w:hAnsi="Arial" w:cs="Arial"/>
                <w:sz w:val="24"/>
                <w:szCs w:val="24"/>
              </w:rPr>
              <w:t xml:space="preserve">They also would not be less burdensome to the affected private persons or businesses than the proposed action, nor would they be more cost effective to affected private persons and </w:t>
            </w:r>
            <w:r w:rsidRPr="009E515B">
              <w:rPr>
                <w:rFonts w:ascii="Arial" w:hAnsi="Arial" w:cs="Arial"/>
                <w:sz w:val="24"/>
                <w:szCs w:val="24"/>
              </w:rPr>
              <w:lastRenderedPageBreak/>
              <w:t xml:space="preserve">equally effective in implementing the statutory policy or other provisions of law. </w:t>
            </w:r>
          </w:p>
        </w:tc>
      </w:tr>
      <w:tr w:rsidR="001349E3" w:rsidRPr="009E515B" w14:paraId="18862FDF" w14:textId="54988415" w:rsidTr="008B7FC3">
        <w:trPr>
          <w:trHeight w:val="3042"/>
        </w:trPr>
        <w:tc>
          <w:tcPr>
            <w:tcW w:w="10153" w:type="dxa"/>
          </w:tcPr>
          <w:p w14:paraId="47C61321" w14:textId="4C7324EF" w:rsidR="006E3B43" w:rsidRPr="009E515B" w:rsidRDefault="006E3B43" w:rsidP="009E515B">
            <w:pPr>
              <w:pStyle w:val="NoSpacing"/>
              <w:rPr>
                <w:rFonts w:ascii="Arial" w:hAnsi="Arial" w:cs="Arial"/>
                <w:sz w:val="24"/>
                <w:szCs w:val="24"/>
              </w:rPr>
            </w:pPr>
            <w:r w:rsidRPr="009E515B">
              <w:rPr>
                <w:rFonts w:ascii="Arial" w:hAnsi="Arial" w:cs="Arial"/>
                <w:sz w:val="24"/>
                <w:szCs w:val="24"/>
              </w:rPr>
              <w:lastRenderedPageBreak/>
              <w:t>Determination of No Significant Economic Impact on Business</w:t>
            </w:r>
          </w:p>
          <w:p w14:paraId="07FDF20B" w14:textId="0D103167" w:rsidR="006E3B43" w:rsidRPr="009E515B" w:rsidRDefault="00CA723A" w:rsidP="009E515B">
            <w:pPr>
              <w:pStyle w:val="NoSpacing"/>
              <w:rPr>
                <w:rFonts w:ascii="Arial" w:hAnsi="Arial" w:cs="Arial"/>
                <w:sz w:val="24"/>
                <w:szCs w:val="24"/>
              </w:rPr>
            </w:pPr>
            <w:r w:rsidRPr="009E515B">
              <w:rPr>
                <w:rFonts w:ascii="Arial" w:hAnsi="Arial" w:cs="Arial"/>
                <w:sz w:val="24"/>
                <w:szCs w:val="24"/>
              </w:rPr>
              <w:t>The</w:t>
            </w:r>
            <w:r w:rsidR="006E3B43" w:rsidRPr="009E515B">
              <w:rPr>
                <w:rFonts w:ascii="Arial" w:hAnsi="Arial" w:cs="Arial"/>
                <w:sz w:val="24"/>
                <w:szCs w:val="24"/>
              </w:rPr>
              <w:t xml:space="preserve"> OSFM has determined that the proposed regulations will not have a significant adverse economic impact on business.</w:t>
            </w:r>
            <w:r w:rsidRPr="009E515B">
              <w:rPr>
                <w:rFonts w:ascii="Arial" w:hAnsi="Arial" w:cs="Arial"/>
                <w:sz w:val="24"/>
                <w:szCs w:val="24"/>
              </w:rPr>
              <w:t xml:space="preserve"> </w:t>
            </w:r>
            <w:r w:rsidR="006E3B43" w:rsidRPr="009E515B">
              <w:rPr>
                <w:rFonts w:ascii="Arial" w:hAnsi="Arial" w:cs="Arial"/>
                <w:sz w:val="24"/>
                <w:szCs w:val="24"/>
              </w:rPr>
              <w:t xml:space="preserve">The OSFM’s Advisory Committee discussed and considered these changes. The Committee members indicated these changes would not have a significant adverse economic impact on business enterprise or individuals. </w:t>
            </w:r>
          </w:p>
          <w:p w14:paraId="4F98FA28" w14:textId="77777777" w:rsidR="006E3B43" w:rsidRPr="009E515B" w:rsidRDefault="006E3B43" w:rsidP="009E515B">
            <w:pPr>
              <w:pStyle w:val="NoSpacing"/>
              <w:rPr>
                <w:rFonts w:ascii="Arial" w:hAnsi="Arial" w:cs="Arial"/>
                <w:sz w:val="24"/>
                <w:szCs w:val="24"/>
              </w:rPr>
            </w:pPr>
          </w:p>
          <w:p w14:paraId="7232EA86" w14:textId="4143FC68" w:rsidR="006E3B43" w:rsidRPr="009E515B" w:rsidRDefault="006E3B43" w:rsidP="009E515B">
            <w:pPr>
              <w:pStyle w:val="NoSpacing"/>
              <w:rPr>
                <w:rFonts w:ascii="Arial" w:hAnsi="Arial" w:cs="Arial"/>
                <w:sz w:val="24"/>
                <w:szCs w:val="24"/>
              </w:rPr>
            </w:pPr>
            <w:r w:rsidRPr="009E515B">
              <w:rPr>
                <w:rFonts w:ascii="Arial" w:hAnsi="Arial" w:cs="Arial"/>
                <w:sz w:val="24"/>
                <w:szCs w:val="24"/>
              </w:rPr>
              <w:t xml:space="preserve">The proposed regulation will incur some effect on the regulated community, but those impacts will be absorbed by industry and businesses engaged with industry. </w:t>
            </w:r>
          </w:p>
          <w:p w14:paraId="21120C6B" w14:textId="77777777" w:rsidR="00CA723A" w:rsidRPr="009E515B" w:rsidRDefault="00CA723A" w:rsidP="009E515B">
            <w:pPr>
              <w:pStyle w:val="NoSpacing"/>
              <w:rPr>
                <w:rFonts w:ascii="Arial" w:hAnsi="Arial" w:cs="Arial"/>
                <w:sz w:val="24"/>
                <w:szCs w:val="24"/>
              </w:rPr>
            </w:pPr>
          </w:p>
          <w:p w14:paraId="07B21693" w14:textId="0FD0E8F9" w:rsidR="006E3B43" w:rsidRPr="009E515B" w:rsidRDefault="006E3B43" w:rsidP="009E515B">
            <w:pPr>
              <w:pStyle w:val="NoSpacing"/>
              <w:rPr>
                <w:rFonts w:ascii="Arial" w:hAnsi="Arial" w:cs="Arial"/>
                <w:sz w:val="24"/>
                <w:szCs w:val="24"/>
              </w:rPr>
            </w:pPr>
            <w:r w:rsidRPr="009E515B">
              <w:rPr>
                <w:rFonts w:ascii="Arial" w:hAnsi="Arial" w:cs="Arial"/>
                <w:sz w:val="24"/>
                <w:szCs w:val="24"/>
              </w:rPr>
              <w:t xml:space="preserve">Based on those facts and evidence, the OSFM has determined these changes would not have a significant adverse economic impact. </w:t>
            </w:r>
          </w:p>
        </w:tc>
      </w:tr>
      <w:tr w:rsidR="001349E3" w:rsidRPr="009E515B" w14:paraId="7ABDA693" w14:textId="2DA99940" w:rsidTr="008B7FC3">
        <w:trPr>
          <w:trHeight w:val="2117"/>
        </w:trPr>
        <w:tc>
          <w:tcPr>
            <w:tcW w:w="10153" w:type="dxa"/>
          </w:tcPr>
          <w:p w14:paraId="64E6C557" w14:textId="77777777" w:rsidR="006E3B43" w:rsidRPr="009E515B" w:rsidRDefault="006E3B43" w:rsidP="009E515B">
            <w:pPr>
              <w:pStyle w:val="NoSpacing"/>
              <w:rPr>
                <w:rFonts w:ascii="Arial" w:hAnsi="Arial" w:cs="Arial"/>
                <w:sz w:val="24"/>
                <w:szCs w:val="24"/>
              </w:rPr>
            </w:pPr>
            <w:r w:rsidRPr="009E515B">
              <w:rPr>
                <w:rFonts w:ascii="Arial" w:hAnsi="Arial" w:cs="Arial"/>
                <w:sz w:val="24"/>
                <w:szCs w:val="24"/>
              </w:rPr>
              <w:t xml:space="preserve">Federal regulations provide the technical basis and framework for enforcement and prevention measures related to petroleum storage. These federal regulations are found in the Code of Federal Regulations Title 40 Part 112. These regulations include the spill prevention, control, and countermeasure plans (SPCC plan).  </w:t>
            </w:r>
          </w:p>
          <w:p w14:paraId="042D8C33" w14:textId="77777777" w:rsidR="006E3B43" w:rsidRPr="009E515B" w:rsidRDefault="006E3B43" w:rsidP="009E515B">
            <w:pPr>
              <w:pStyle w:val="NoSpacing"/>
              <w:rPr>
                <w:rFonts w:ascii="Arial" w:hAnsi="Arial" w:cs="Arial"/>
                <w:sz w:val="24"/>
                <w:szCs w:val="24"/>
              </w:rPr>
            </w:pPr>
          </w:p>
          <w:p w14:paraId="1E3EF5E8" w14:textId="62684216" w:rsidR="006E3B43" w:rsidRPr="009E515B" w:rsidRDefault="006E3B43" w:rsidP="009E515B">
            <w:pPr>
              <w:pStyle w:val="NoSpacing"/>
            </w:pPr>
            <w:r w:rsidRPr="009E515B">
              <w:rPr>
                <w:rFonts w:ascii="Arial" w:hAnsi="Arial" w:cs="Arial"/>
                <w:sz w:val="24"/>
                <w:szCs w:val="24"/>
              </w:rPr>
              <w:t>State law utilizes SPCC plan requirements and imposes more stringent requirements for petroleum storage tank facilities. These requirements are found in the Aboveground Petroleum Storage Act.</w:t>
            </w:r>
          </w:p>
        </w:tc>
      </w:tr>
      <w:tr w:rsidR="001349E3" w:rsidRPr="009E515B" w14:paraId="7577D43C" w14:textId="7E8E6CDA" w:rsidTr="008B7FC3">
        <w:trPr>
          <w:trHeight w:val="99"/>
        </w:trPr>
        <w:tc>
          <w:tcPr>
            <w:tcW w:w="10153" w:type="dxa"/>
          </w:tcPr>
          <w:p w14:paraId="0DE86A90" w14:textId="67E2B73D" w:rsidR="006E3B43" w:rsidRPr="009E515B" w:rsidRDefault="006E3B43" w:rsidP="006E3B43">
            <w:pPr>
              <w:rPr>
                <w:rFonts w:ascii="Arial" w:hAnsi="Arial" w:cs="Arial"/>
                <w:sz w:val="24"/>
                <w:szCs w:val="24"/>
              </w:rPr>
            </w:pPr>
          </w:p>
        </w:tc>
      </w:tr>
      <w:tr w:rsidR="006E3B43" w:rsidRPr="009E515B" w14:paraId="066953EC" w14:textId="77777777" w:rsidTr="008B7FC3">
        <w:trPr>
          <w:trHeight w:val="210"/>
        </w:trPr>
        <w:tc>
          <w:tcPr>
            <w:tcW w:w="10153" w:type="dxa"/>
          </w:tcPr>
          <w:p w14:paraId="1177D7F9" w14:textId="77777777" w:rsidR="006E3B43" w:rsidRPr="009E515B" w:rsidRDefault="006E3B43" w:rsidP="006E3B43">
            <w:pPr>
              <w:rPr>
                <w:rFonts w:ascii="Arial" w:hAnsi="Arial" w:cs="Arial"/>
                <w:sz w:val="24"/>
                <w:szCs w:val="24"/>
              </w:rPr>
            </w:pPr>
          </w:p>
        </w:tc>
      </w:tr>
    </w:tbl>
    <w:p w14:paraId="061EE793" w14:textId="293A84E0" w:rsidR="0046290B" w:rsidRPr="009E515B" w:rsidRDefault="00DB1F0C" w:rsidP="006E3B43">
      <w:pPr>
        <w:rPr>
          <w:rFonts w:ascii="Arial" w:hAnsi="Arial" w:cs="Arial"/>
          <w:b/>
          <w:bCs/>
          <w:sz w:val="24"/>
          <w:szCs w:val="24"/>
        </w:rPr>
      </w:pPr>
      <w:r w:rsidRPr="009E515B">
        <w:rPr>
          <w:rFonts w:ascii="Arial" w:hAnsi="Arial" w:cs="Arial"/>
          <w:b/>
          <w:bCs/>
          <w:sz w:val="24"/>
          <w:szCs w:val="24"/>
        </w:rPr>
        <w:t xml:space="preserve">Benefits </w:t>
      </w:r>
    </w:p>
    <w:p w14:paraId="518273BD" w14:textId="43452F1C" w:rsidR="00181FD4" w:rsidRPr="009E515B" w:rsidRDefault="00DA6501" w:rsidP="006E3B43">
      <w:pPr>
        <w:rPr>
          <w:rFonts w:ascii="Arial" w:hAnsi="Arial" w:cs="Arial"/>
          <w:sz w:val="24"/>
          <w:szCs w:val="24"/>
        </w:rPr>
      </w:pPr>
      <w:r w:rsidRPr="009E515B">
        <w:rPr>
          <w:rFonts w:ascii="Arial" w:hAnsi="Arial" w:cs="Arial"/>
          <w:sz w:val="24"/>
          <w:szCs w:val="24"/>
        </w:rPr>
        <w:t xml:space="preserve">These regulations are necessary to protect public safety and the environment. </w:t>
      </w:r>
      <w:r w:rsidR="0046290B" w:rsidRPr="009E515B">
        <w:rPr>
          <w:rFonts w:ascii="Arial" w:hAnsi="Arial" w:cs="Arial"/>
          <w:sz w:val="24"/>
          <w:szCs w:val="24"/>
        </w:rPr>
        <w:t>There are approximately 17,000 aboveground storage tank facilities in the State that store a variety of petroleum oils and/or petroleum products</w:t>
      </w:r>
      <w:r w:rsidR="00DF2E5E" w:rsidRPr="009E515B">
        <w:rPr>
          <w:rFonts w:ascii="Arial" w:hAnsi="Arial" w:cs="Arial"/>
          <w:sz w:val="24"/>
          <w:szCs w:val="24"/>
        </w:rPr>
        <w:t xml:space="preserve">. </w:t>
      </w:r>
      <w:r w:rsidR="00066057" w:rsidRPr="009E515B">
        <w:rPr>
          <w:rFonts w:ascii="Arial" w:hAnsi="Arial" w:cs="Arial"/>
          <w:sz w:val="24"/>
          <w:szCs w:val="24"/>
        </w:rPr>
        <w:t xml:space="preserve">Aboveground petroleum storage tanks may leak and spill into the environment, causing contamination problems. Contamination </w:t>
      </w:r>
      <w:r w:rsidR="0046290B" w:rsidRPr="009E515B">
        <w:rPr>
          <w:rFonts w:ascii="Arial" w:hAnsi="Arial" w:cs="Arial"/>
          <w:sz w:val="24"/>
          <w:szCs w:val="24"/>
        </w:rPr>
        <w:t>pose</w:t>
      </w:r>
      <w:r w:rsidR="001349E3" w:rsidRPr="009E515B">
        <w:rPr>
          <w:rFonts w:ascii="Arial" w:hAnsi="Arial" w:cs="Arial"/>
          <w:sz w:val="24"/>
          <w:szCs w:val="24"/>
        </w:rPr>
        <w:t>s</w:t>
      </w:r>
      <w:r w:rsidR="00C30F0E" w:rsidRPr="009E515B">
        <w:rPr>
          <w:rFonts w:ascii="Arial" w:hAnsi="Arial" w:cs="Arial"/>
          <w:sz w:val="24"/>
          <w:szCs w:val="24"/>
        </w:rPr>
        <w:t xml:space="preserve"> a range of risks, which result in</w:t>
      </w:r>
      <w:r w:rsidR="0046290B" w:rsidRPr="009E515B">
        <w:rPr>
          <w:rFonts w:ascii="Arial" w:hAnsi="Arial" w:cs="Arial"/>
          <w:sz w:val="24"/>
          <w:szCs w:val="24"/>
        </w:rPr>
        <w:t xml:space="preserve"> minor to very serious threats to the environment</w:t>
      </w:r>
      <w:r w:rsidR="00066057" w:rsidRPr="009E515B">
        <w:rPr>
          <w:rFonts w:ascii="Arial" w:hAnsi="Arial" w:cs="Arial"/>
          <w:sz w:val="24"/>
          <w:szCs w:val="24"/>
        </w:rPr>
        <w:t xml:space="preserve"> and </w:t>
      </w:r>
      <w:r w:rsidR="0046290B" w:rsidRPr="009E515B">
        <w:rPr>
          <w:rFonts w:ascii="Arial" w:hAnsi="Arial" w:cs="Arial"/>
          <w:sz w:val="24"/>
          <w:szCs w:val="24"/>
        </w:rPr>
        <w:t>public</w:t>
      </w:r>
      <w:r w:rsidR="00066057" w:rsidRPr="009E515B">
        <w:rPr>
          <w:rFonts w:ascii="Arial" w:hAnsi="Arial" w:cs="Arial"/>
          <w:sz w:val="24"/>
          <w:szCs w:val="24"/>
        </w:rPr>
        <w:t xml:space="preserve"> safety. Among other causes, l</w:t>
      </w:r>
      <w:r w:rsidR="0046290B" w:rsidRPr="009E515B">
        <w:rPr>
          <w:rFonts w:ascii="Arial" w:hAnsi="Arial" w:cs="Arial"/>
          <w:sz w:val="24"/>
          <w:szCs w:val="24"/>
        </w:rPr>
        <w:t xml:space="preserve">eaks and spills may be due to advanced age, defects in design or installation, human error, and/or equipment failure.  </w:t>
      </w:r>
    </w:p>
    <w:p w14:paraId="5ACDBFE5" w14:textId="1FEA12CC" w:rsidR="00096186" w:rsidRPr="009E515B" w:rsidRDefault="00DA6501" w:rsidP="006E3B43">
      <w:pPr>
        <w:rPr>
          <w:rFonts w:ascii="Arial" w:hAnsi="Arial" w:cs="Arial"/>
          <w:sz w:val="24"/>
          <w:szCs w:val="24"/>
        </w:rPr>
      </w:pPr>
      <w:r w:rsidRPr="009E515B">
        <w:rPr>
          <w:rFonts w:ascii="Arial" w:hAnsi="Arial" w:cs="Arial"/>
          <w:sz w:val="24"/>
          <w:szCs w:val="24"/>
        </w:rPr>
        <w:t>Preventive steps taken by the industry and regulatory agencies can reduce the risk</w:t>
      </w:r>
      <w:r w:rsidR="00C30F0E" w:rsidRPr="009E515B">
        <w:rPr>
          <w:rFonts w:ascii="Arial" w:hAnsi="Arial" w:cs="Arial"/>
          <w:sz w:val="24"/>
          <w:szCs w:val="24"/>
        </w:rPr>
        <w:t xml:space="preserve"> of</w:t>
      </w:r>
      <w:r w:rsidRPr="009E515B">
        <w:rPr>
          <w:rFonts w:ascii="Arial" w:hAnsi="Arial" w:cs="Arial"/>
          <w:sz w:val="24"/>
          <w:szCs w:val="24"/>
        </w:rPr>
        <w:t xml:space="preserve"> leaks and spills, therefore providing a direct public safety and environmental benefit. </w:t>
      </w:r>
      <w:proofErr w:type="gramStart"/>
      <w:r w:rsidR="00C30F0E" w:rsidRPr="009E515B">
        <w:rPr>
          <w:rFonts w:ascii="Arial" w:hAnsi="Arial" w:cs="Arial"/>
          <w:sz w:val="24"/>
          <w:szCs w:val="24"/>
        </w:rPr>
        <w:t>In order to</w:t>
      </w:r>
      <w:proofErr w:type="gramEnd"/>
      <w:r w:rsidR="00C30F0E" w:rsidRPr="009E515B">
        <w:rPr>
          <w:rFonts w:ascii="Arial" w:hAnsi="Arial" w:cs="Arial"/>
          <w:sz w:val="24"/>
          <w:szCs w:val="24"/>
        </w:rPr>
        <w:t xml:space="preserve"> support these prevention measures, t</w:t>
      </w:r>
      <w:r w:rsidR="00096186" w:rsidRPr="009E515B">
        <w:rPr>
          <w:rFonts w:ascii="Arial" w:hAnsi="Arial" w:cs="Arial"/>
          <w:sz w:val="24"/>
          <w:szCs w:val="24"/>
        </w:rPr>
        <w:t>his proposed regulation will assist in the consistent implementation of the APSA program</w:t>
      </w:r>
      <w:r w:rsidR="00C30F0E" w:rsidRPr="009E515B">
        <w:rPr>
          <w:rFonts w:ascii="Arial" w:hAnsi="Arial" w:cs="Arial"/>
          <w:sz w:val="24"/>
          <w:szCs w:val="24"/>
        </w:rPr>
        <w:t>.</w:t>
      </w:r>
    </w:p>
    <w:p w14:paraId="6CC9963E" w14:textId="77777777" w:rsidR="001349E3" w:rsidRPr="009E515B" w:rsidRDefault="001349E3" w:rsidP="006E3B43">
      <w:pPr>
        <w:rPr>
          <w:rFonts w:ascii="Arial" w:hAnsi="Arial" w:cs="Arial"/>
          <w:sz w:val="24"/>
          <w:szCs w:val="24"/>
        </w:rPr>
      </w:pPr>
    </w:p>
    <w:p w14:paraId="3974A386" w14:textId="502D169E" w:rsidR="00C30F0E" w:rsidRPr="009E515B" w:rsidRDefault="002E0F46" w:rsidP="006E3B43">
      <w:pPr>
        <w:rPr>
          <w:rFonts w:ascii="Arial" w:hAnsi="Arial" w:cs="Arial"/>
          <w:b/>
          <w:bCs/>
          <w:sz w:val="24"/>
          <w:szCs w:val="24"/>
        </w:rPr>
      </w:pPr>
      <w:r w:rsidRPr="009E515B">
        <w:rPr>
          <w:rFonts w:ascii="Arial" w:hAnsi="Arial" w:cs="Arial"/>
          <w:b/>
          <w:bCs/>
          <w:sz w:val="24"/>
          <w:szCs w:val="24"/>
        </w:rPr>
        <w:t>Directly Affected Benefit</w:t>
      </w:r>
    </w:p>
    <w:p w14:paraId="527B0327" w14:textId="5F206686" w:rsidR="001349E3" w:rsidRPr="009E515B" w:rsidRDefault="00181FD4" w:rsidP="006E3B43">
      <w:pPr>
        <w:rPr>
          <w:rFonts w:ascii="Arial" w:hAnsi="Arial" w:cs="Arial"/>
          <w:sz w:val="24"/>
          <w:szCs w:val="24"/>
        </w:rPr>
      </w:pPr>
      <w:r w:rsidRPr="009E515B">
        <w:rPr>
          <w:rFonts w:ascii="Arial" w:hAnsi="Arial" w:cs="Arial"/>
          <w:sz w:val="24"/>
          <w:szCs w:val="24"/>
        </w:rPr>
        <w:t xml:space="preserve">A central goal of these regulations is to provide an efficient enforcement and compliance tool for the directly affected public of the APSA program. Because petroleum is a complex policy issue, the law is also very complex and detailed. These regulations coordinate and highlight the </w:t>
      </w:r>
      <w:r w:rsidR="00F42FCF" w:rsidRPr="009E515B">
        <w:rPr>
          <w:rFonts w:ascii="Arial" w:hAnsi="Arial" w:cs="Arial"/>
          <w:sz w:val="24"/>
          <w:szCs w:val="24"/>
        </w:rPr>
        <w:t>state and federal laws</w:t>
      </w:r>
      <w:r w:rsidR="00C30F0E" w:rsidRPr="009E515B">
        <w:rPr>
          <w:rFonts w:ascii="Arial" w:hAnsi="Arial" w:cs="Arial"/>
          <w:sz w:val="24"/>
          <w:szCs w:val="24"/>
        </w:rPr>
        <w:t xml:space="preserve"> for </w:t>
      </w:r>
      <w:r w:rsidR="00F42FCF" w:rsidRPr="009E515B">
        <w:rPr>
          <w:rFonts w:ascii="Arial" w:hAnsi="Arial" w:cs="Arial"/>
          <w:sz w:val="24"/>
          <w:szCs w:val="24"/>
        </w:rPr>
        <w:t xml:space="preserve">the regulated community, industry stakeholders, and local UPA enforcement entities. </w:t>
      </w:r>
    </w:p>
    <w:p w14:paraId="4C7F9109" w14:textId="77777777" w:rsidR="00D94EF7" w:rsidRPr="009E515B" w:rsidRDefault="00D94EF7" w:rsidP="006E3B43">
      <w:pPr>
        <w:rPr>
          <w:rFonts w:ascii="Arial" w:hAnsi="Arial" w:cs="Arial"/>
          <w:sz w:val="24"/>
          <w:szCs w:val="24"/>
        </w:rPr>
      </w:pPr>
    </w:p>
    <w:p w14:paraId="224AA5FC" w14:textId="4428CBAC" w:rsidR="00315417" w:rsidRPr="009E515B" w:rsidRDefault="00315417" w:rsidP="006E3B43">
      <w:pPr>
        <w:rPr>
          <w:rFonts w:ascii="Arial" w:hAnsi="Arial" w:cs="Arial"/>
          <w:b/>
          <w:bCs/>
          <w:sz w:val="24"/>
          <w:szCs w:val="24"/>
        </w:rPr>
      </w:pPr>
      <w:r w:rsidRPr="009E515B">
        <w:rPr>
          <w:rFonts w:ascii="Arial" w:hAnsi="Arial" w:cs="Arial"/>
          <w:b/>
          <w:bCs/>
          <w:sz w:val="24"/>
          <w:szCs w:val="24"/>
        </w:rPr>
        <w:t>Purpose, Problem, Rationale for each adoption, amendment, or repeal</w:t>
      </w:r>
    </w:p>
    <w:tbl>
      <w:tblPr>
        <w:tblStyle w:val="TableGrid"/>
        <w:tblpPr w:leftFromText="180" w:rightFromText="180" w:vertAnchor="text" w:tblpX="85" w:tblpY="1"/>
        <w:tblOverlap w:val="never"/>
        <w:tblW w:w="10080" w:type="dxa"/>
        <w:tblLayout w:type="fixed"/>
        <w:tblLook w:val="04A0" w:firstRow="1" w:lastRow="0" w:firstColumn="1" w:lastColumn="0" w:noHBand="0" w:noVBand="1"/>
      </w:tblPr>
      <w:tblGrid>
        <w:gridCol w:w="1440"/>
        <w:gridCol w:w="8640"/>
      </w:tblGrid>
      <w:tr w:rsidR="00A86674" w:rsidRPr="009E515B" w14:paraId="0757602F" w14:textId="3625D14F" w:rsidTr="00A86674">
        <w:trPr>
          <w:trHeight w:val="144"/>
        </w:trPr>
        <w:tc>
          <w:tcPr>
            <w:tcW w:w="1440" w:type="dxa"/>
            <w:hideMark/>
          </w:tcPr>
          <w:p w14:paraId="465C1462" w14:textId="77777777" w:rsidR="00A86674" w:rsidRPr="009E515B" w:rsidRDefault="00A86674" w:rsidP="00A86674">
            <w:pPr>
              <w:rPr>
                <w:rFonts w:ascii="Arial" w:hAnsi="Arial" w:cs="Arial"/>
                <w:sz w:val="24"/>
                <w:szCs w:val="24"/>
              </w:rPr>
            </w:pPr>
          </w:p>
          <w:p w14:paraId="31FB53CF" w14:textId="306C5094" w:rsidR="00A86674" w:rsidRPr="009E515B" w:rsidRDefault="00A86674" w:rsidP="00A86674">
            <w:pPr>
              <w:rPr>
                <w:rFonts w:ascii="Arial" w:hAnsi="Arial" w:cs="Arial"/>
                <w:sz w:val="24"/>
                <w:szCs w:val="24"/>
              </w:rPr>
            </w:pPr>
            <w:r w:rsidRPr="009E515B">
              <w:rPr>
                <w:rFonts w:ascii="Arial" w:hAnsi="Arial" w:cs="Arial"/>
                <w:sz w:val="24"/>
                <w:szCs w:val="24"/>
              </w:rPr>
              <w:t>Reference Statute</w:t>
            </w:r>
          </w:p>
          <w:p w14:paraId="2F61BB47" w14:textId="77777777" w:rsidR="00A86674" w:rsidRPr="009E515B" w:rsidRDefault="00A86674" w:rsidP="00A86674">
            <w:pPr>
              <w:rPr>
                <w:rFonts w:ascii="Arial" w:hAnsi="Arial" w:cs="Arial"/>
                <w:sz w:val="24"/>
                <w:szCs w:val="24"/>
              </w:rPr>
            </w:pPr>
          </w:p>
          <w:p w14:paraId="7A7389CB" w14:textId="0FEDD46F" w:rsidR="00A86674" w:rsidRPr="009E515B" w:rsidRDefault="00A86674" w:rsidP="00A86674">
            <w:pPr>
              <w:rPr>
                <w:rFonts w:ascii="Arial" w:hAnsi="Arial" w:cs="Arial"/>
                <w:sz w:val="24"/>
                <w:szCs w:val="24"/>
              </w:rPr>
            </w:pPr>
          </w:p>
        </w:tc>
        <w:tc>
          <w:tcPr>
            <w:tcW w:w="8640" w:type="dxa"/>
          </w:tcPr>
          <w:p w14:paraId="18B5EE6E" w14:textId="77777777" w:rsidR="00A86674" w:rsidRPr="009E515B" w:rsidRDefault="00A86674" w:rsidP="00A86674">
            <w:pPr>
              <w:rPr>
                <w:rFonts w:ascii="Arial" w:hAnsi="Arial" w:cs="Arial"/>
                <w:b/>
                <w:bCs/>
                <w:sz w:val="24"/>
                <w:szCs w:val="24"/>
                <w:highlight w:val="yellow"/>
              </w:rPr>
            </w:pPr>
          </w:p>
        </w:tc>
      </w:tr>
      <w:tr w:rsidR="00A86674" w:rsidRPr="009E515B" w14:paraId="547B4728" w14:textId="793D9F90" w:rsidTr="00A86674">
        <w:trPr>
          <w:trHeight w:val="144"/>
        </w:trPr>
        <w:tc>
          <w:tcPr>
            <w:tcW w:w="1440" w:type="dxa"/>
            <w:hideMark/>
          </w:tcPr>
          <w:p w14:paraId="3E11AD03" w14:textId="32C6296D" w:rsidR="00A86674" w:rsidRPr="009E515B" w:rsidRDefault="003F74CA" w:rsidP="00A86674">
            <w:pPr>
              <w:rPr>
                <w:rFonts w:ascii="Arial" w:hAnsi="Arial" w:cs="Arial"/>
                <w:b/>
                <w:bCs/>
                <w:sz w:val="24"/>
                <w:szCs w:val="24"/>
                <w:u w:val="single"/>
              </w:rPr>
            </w:pPr>
            <w:hyperlink r:id="rId11" w:history="1">
              <w:r w:rsidR="00A86674" w:rsidRPr="009E515B">
                <w:rPr>
                  <w:rStyle w:val="Hyperlink"/>
                  <w:rFonts w:ascii="Arial" w:hAnsi="Arial" w:cs="Arial"/>
                  <w:b/>
                  <w:bCs/>
                  <w:color w:val="auto"/>
                  <w:sz w:val="24"/>
                  <w:szCs w:val="24"/>
                </w:rPr>
                <w:t>25270.2.</w:t>
              </w:r>
            </w:hyperlink>
          </w:p>
        </w:tc>
        <w:tc>
          <w:tcPr>
            <w:tcW w:w="8640" w:type="dxa"/>
          </w:tcPr>
          <w:p w14:paraId="1710EDD9" w14:textId="2DE606F0" w:rsidR="00A86674" w:rsidRPr="009E515B" w:rsidRDefault="00A86674" w:rsidP="00A86674">
            <w:pPr>
              <w:rPr>
                <w:rFonts w:ascii="Arial" w:hAnsi="Arial" w:cs="Arial"/>
                <w:b/>
                <w:bCs/>
                <w:sz w:val="24"/>
                <w:szCs w:val="24"/>
              </w:rPr>
            </w:pPr>
            <w:r w:rsidRPr="009E515B">
              <w:rPr>
                <w:rFonts w:ascii="Arial" w:hAnsi="Arial" w:cs="Arial"/>
                <w:b/>
                <w:bCs/>
                <w:sz w:val="24"/>
                <w:szCs w:val="24"/>
              </w:rPr>
              <w:t>Scope- Health and Safety Section Numbers</w:t>
            </w:r>
          </w:p>
          <w:p w14:paraId="5AFCD4DB" w14:textId="4008C70B" w:rsidR="00A86674" w:rsidRPr="009E515B" w:rsidRDefault="00A86674" w:rsidP="00A86674">
            <w:pPr>
              <w:rPr>
                <w:rFonts w:ascii="Arial" w:hAnsi="Arial" w:cs="Arial"/>
                <w:sz w:val="24"/>
                <w:szCs w:val="24"/>
              </w:rPr>
            </w:pPr>
            <w:r w:rsidRPr="009E515B">
              <w:rPr>
                <w:rFonts w:ascii="Arial" w:hAnsi="Arial" w:cs="Arial"/>
                <w:b/>
                <w:bCs/>
                <w:sz w:val="24"/>
                <w:szCs w:val="24"/>
              </w:rPr>
              <w:t xml:space="preserve">Problem- </w:t>
            </w:r>
            <w:r w:rsidRPr="009E515B">
              <w:rPr>
                <w:rFonts w:ascii="Arial" w:hAnsi="Arial" w:cs="Arial"/>
                <w:sz w:val="24"/>
                <w:szCs w:val="24"/>
              </w:rPr>
              <w:t xml:space="preserve">definitions are not in a clear and straightforward format. This legislation is very complex and challenging to read, even for individuals with a significant amount of experience with the law. A clear understanding of the definitions, scope, exemptions, and exclusions is a key part of compliance for the directly affected public. </w:t>
            </w:r>
          </w:p>
          <w:p w14:paraId="661260FD" w14:textId="15E386E1" w:rsidR="00A86674" w:rsidRPr="009E515B" w:rsidRDefault="00A86674" w:rsidP="00A86674">
            <w:pPr>
              <w:rPr>
                <w:rFonts w:ascii="Arial" w:hAnsi="Arial" w:cs="Arial"/>
                <w:b/>
                <w:bCs/>
                <w:sz w:val="24"/>
                <w:szCs w:val="24"/>
              </w:rPr>
            </w:pPr>
          </w:p>
          <w:p w14:paraId="47090B4C" w14:textId="2D7F0B72" w:rsidR="00A86674" w:rsidRPr="009E515B" w:rsidRDefault="00A86674" w:rsidP="00A86674">
            <w:pPr>
              <w:rPr>
                <w:rFonts w:ascii="Arial" w:hAnsi="Arial" w:cs="Arial"/>
                <w:sz w:val="24"/>
                <w:szCs w:val="24"/>
              </w:rPr>
            </w:pPr>
            <w:r w:rsidRPr="009E515B">
              <w:rPr>
                <w:rFonts w:ascii="Arial" w:hAnsi="Arial" w:cs="Arial"/>
                <w:sz w:val="24"/>
                <w:szCs w:val="24"/>
              </w:rPr>
              <w:t>This adoption will reduce the burden of compliance for the directly affected public. This section includes applicable definitions from statutes and regulations. In addition, other definitions that are important for the program are added.</w:t>
            </w:r>
          </w:p>
          <w:p w14:paraId="3E663764" w14:textId="77777777" w:rsidR="00A86674" w:rsidRPr="009E515B" w:rsidRDefault="00A86674" w:rsidP="00A86674">
            <w:pPr>
              <w:rPr>
                <w:rFonts w:ascii="Arial" w:hAnsi="Arial" w:cs="Arial"/>
                <w:sz w:val="24"/>
                <w:szCs w:val="24"/>
              </w:rPr>
            </w:pPr>
          </w:p>
          <w:p w14:paraId="6393E766" w14:textId="45C0A040" w:rsidR="00A86674" w:rsidRPr="009E515B" w:rsidRDefault="00A86674" w:rsidP="00A86674">
            <w:pPr>
              <w:rPr>
                <w:rFonts w:ascii="Arial" w:hAnsi="Arial" w:cs="Arial"/>
                <w:b/>
                <w:bCs/>
                <w:sz w:val="24"/>
                <w:szCs w:val="24"/>
              </w:rPr>
            </w:pPr>
            <w:r w:rsidRPr="009E515B">
              <w:rPr>
                <w:rFonts w:ascii="Arial" w:hAnsi="Arial" w:cs="Arial"/>
                <w:b/>
                <w:bCs/>
                <w:sz w:val="24"/>
                <w:szCs w:val="24"/>
              </w:rPr>
              <w:t>Scope- Legislation</w:t>
            </w:r>
          </w:p>
          <w:p w14:paraId="619F11E3" w14:textId="54BA10AC" w:rsidR="00A86674" w:rsidRPr="009E515B" w:rsidRDefault="00A86674" w:rsidP="00A86674">
            <w:pPr>
              <w:rPr>
                <w:rFonts w:ascii="Arial" w:hAnsi="Arial" w:cs="Arial"/>
                <w:sz w:val="24"/>
                <w:szCs w:val="24"/>
              </w:rPr>
            </w:pPr>
            <w:r w:rsidRPr="009E515B">
              <w:rPr>
                <w:rFonts w:ascii="Arial" w:hAnsi="Arial" w:cs="Arial"/>
                <w:sz w:val="24"/>
                <w:szCs w:val="24"/>
              </w:rPr>
              <w:t xml:space="preserve">This action will improve the experience for directly affected by providing </w:t>
            </w:r>
            <w:proofErr w:type="gramStart"/>
            <w:r w:rsidRPr="009E515B">
              <w:rPr>
                <w:rFonts w:ascii="Arial" w:hAnsi="Arial" w:cs="Arial"/>
                <w:sz w:val="24"/>
                <w:szCs w:val="24"/>
              </w:rPr>
              <w:t>the majority of</w:t>
            </w:r>
            <w:proofErr w:type="gramEnd"/>
            <w:r w:rsidRPr="009E515B">
              <w:rPr>
                <w:rFonts w:ascii="Arial" w:hAnsi="Arial" w:cs="Arial"/>
                <w:sz w:val="24"/>
                <w:szCs w:val="24"/>
              </w:rPr>
              <w:t xml:space="preserve"> program definitions in a single source. In addition, this regulation will support consistency enforcement practices based on clear scope and terminology. </w:t>
            </w:r>
          </w:p>
          <w:p w14:paraId="20B433B8" w14:textId="0EF50EBC" w:rsidR="00A86674" w:rsidRPr="009E515B" w:rsidRDefault="00A86674" w:rsidP="00A86674">
            <w:pPr>
              <w:rPr>
                <w:rFonts w:ascii="Arial" w:hAnsi="Arial" w:cs="Arial"/>
                <w:sz w:val="24"/>
                <w:szCs w:val="24"/>
              </w:rPr>
            </w:pPr>
            <w:r w:rsidRPr="009E515B">
              <w:rPr>
                <w:rFonts w:ascii="Arial" w:hAnsi="Arial" w:cs="Arial"/>
                <w:sz w:val="24"/>
                <w:szCs w:val="24"/>
              </w:rPr>
              <w:t>The statutes and regulations which have been duplicated are as follows:</w:t>
            </w:r>
          </w:p>
          <w:p w14:paraId="77683466" w14:textId="77777777" w:rsidR="00A86674" w:rsidRPr="009E515B" w:rsidRDefault="00A86674" w:rsidP="00A86674">
            <w:pPr>
              <w:rPr>
                <w:rFonts w:ascii="Arial" w:hAnsi="Arial" w:cs="Arial"/>
                <w:sz w:val="24"/>
                <w:szCs w:val="24"/>
              </w:rPr>
            </w:pPr>
            <w:r w:rsidRPr="009E515B">
              <w:rPr>
                <w:rFonts w:ascii="Arial" w:hAnsi="Arial" w:cs="Arial"/>
                <w:sz w:val="24"/>
                <w:szCs w:val="24"/>
              </w:rPr>
              <w:t>Health and Safety Code APSA 25270.2, 25270.3, 25404</w:t>
            </w:r>
          </w:p>
          <w:p w14:paraId="73AF2576" w14:textId="77777777" w:rsidR="00A86674" w:rsidRPr="009E515B" w:rsidRDefault="00A86674" w:rsidP="00A86674">
            <w:pPr>
              <w:rPr>
                <w:rFonts w:ascii="Arial" w:hAnsi="Arial" w:cs="Arial"/>
                <w:sz w:val="24"/>
                <w:szCs w:val="24"/>
              </w:rPr>
            </w:pPr>
            <w:r w:rsidRPr="009E515B">
              <w:rPr>
                <w:rFonts w:ascii="Arial" w:hAnsi="Arial" w:cs="Arial"/>
                <w:sz w:val="24"/>
                <w:szCs w:val="24"/>
              </w:rPr>
              <w:t>Water Code 13050</w:t>
            </w:r>
          </w:p>
          <w:p w14:paraId="213D1C2D" w14:textId="77777777" w:rsidR="00A86674" w:rsidRPr="009E515B" w:rsidRDefault="00A86674" w:rsidP="00A86674">
            <w:pPr>
              <w:rPr>
                <w:rFonts w:ascii="Arial" w:hAnsi="Arial" w:cs="Arial"/>
                <w:sz w:val="24"/>
                <w:szCs w:val="24"/>
              </w:rPr>
            </w:pPr>
            <w:r w:rsidRPr="009E515B">
              <w:rPr>
                <w:rFonts w:ascii="Arial" w:hAnsi="Arial" w:cs="Arial"/>
                <w:sz w:val="24"/>
                <w:szCs w:val="24"/>
              </w:rPr>
              <w:t xml:space="preserve">California Code of Regulations Title 27 Section Number 15110 </w:t>
            </w:r>
          </w:p>
          <w:p w14:paraId="6CD51E69" w14:textId="011E7366" w:rsidR="00A86674" w:rsidRPr="009E515B" w:rsidRDefault="00A86674" w:rsidP="00A86674">
            <w:pPr>
              <w:rPr>
                <w:rFonts w:ascii="Arial" w:hAnsi="Arial" w:cs="Arial"/>
                <w:sz w:val="24"/>
                <w:szCs w:val="24"/>
              </w:rPr>
            </w:pPr>
            <w:r w:rsidRPr="009E515B">
              <w:rPr>
                <w:rFonts w:ascii="Arial" w:hAnsi="Arial" w:cs="Arial"/>
                <w:sz w:val="24"/>
                <w:szCs w:val="24"/>
              </w:rPr>
              <w:t>Code of Federal Regulations Title 40 Part 112</w:t>
            </w:r>
          </w:p>
          <w:p w14:paraId="45DBFA8F" w14:textId="77777777" w:rsidR="00A86674" w:rsidRPr="009E515B" w:rsidRDefault="00A86674" w:rsidP="00A86674">
            <w:pPr>
              <w:rPr>
                <w:rFonts w:ascii="Arial" w:hAnsi="Arial" w:cs="Arial"/>
                <w:sz w:val="24"/>
                <w:szCs w:val="24"/>
              </w:rPr>
            </w:pPr>
          </w:p>
          <w:p w14:paraId="6FDE3CAB" w14:textId="29E682C1" w:rsidR="00A86674" w:rsidRPr="009E515B" w:rsidRDefault="00A86674" w:rsidP="00A86674">
            <w:pPr>
              <w:rPr>
                <w:rFonts w:ascii="Arial" w:hAnsi="Arial" w:cs="Arial"/>
                <w:sz w:val="24"/>
                <w:szCs w:val="24"/>
              </w:rPr>
            </w:pPr>
            <w:r w:rsidRPr="009E515B">
              <w:rPr>
                <w:rFonts w:ascii="Arial" w:hAnsi="Arial" w:cs="Arial"/>
                <w:sz w:val="24"/>
                <w:szCs w:val="24"/>
              </w:rPr>
              <w:t xml:space="preserve">This section allows for identification of the regulations, so they may be more easily found and referred to by facilities subject to these regulations. This proposed section specifically identifies the scope for the APSA program regulations. </w:t>
            </w:r>
          </w:p>
          <w:p w14:paraId="06546748" w14:textId="77777777" w:rsidR="00A86674" w:rsidRPr="009E515B" w:rsidRDefault="00A86674" w:rsidP="00A86674">
            <w:pPr>
              <w:rPr>
                <w:rFonts w:ascii="Arial" w:hAnsi="Arial" w:cs="Arial"/>
                <w:sz w:val="24"/>
                <w:szCs w:val="24"/>
              </w:rPr>
            </w:pPr>
          </w:p>
          <w:p w14:paraId="573A2811" w14:textId="77777777" w:rsidR="00A86674" w:rsidRPr="009E515B" w:rsidRDefault="00A86674" w:rsidP="00A86674">
            <w:pPr>
              <w:rPr>
                <w:rFonts w:ascii="Arial" w:hAnsi="Arial" w:cs="Arial"/>
                <w:sz w:val="24"/>
                <w:szCs w:val="24"/>
              </w:rPr>
            </w:pPr>
            <w:r w:rsidRPr="009E515B">
              <w:rPr>
                <w:rFonts w:ascii="Arial" w:hAnsi="Arial" w:cs="Arial"/>
                <w:sz w:val="24"/>
                <w:szCs w:val="24"/>
              </w:rPr>
              <w:t xml:space="preserve">(b)(1) clarifies the first type of tank facility that must abide by this proposed regulation, consistent with Health and Safety Code Section 25270.3(a).  This proposed regulation is applicable to a tank facility that is required to meet the Federal spill prevention, control, and countermeasure rule of the Code of Federal Regulations, Title 40, Part </w:t>
            </w:r>
            <w:proofErr w:type="gramStart"/>
            <w:r w:rsidRPr="009E515B">
              <w:rPr>
                <w:rFonts w:ascii="Arial" w:hAnsi="Arial" w:cs="Arial"/>
                <w:sz w:val="24"/>
                <w:szCs w:val="24"/>
              </w:rPr>
              <w:t>112 .</w:t>
            </w:r>
            <w:proofErr w:type="gramEnd"/>
            <w:r w:rsidRPr="009E515B">
              <w:rPr>
                <w:rFonts w:ascii="Arial" w:hAnsi="Arial" w:cs="Arial"/>
                <w:sz w:val="24"/>
                <w:szCs w:val="24"/>
              </w:rPr>
              <w:t xml:space="preserve">  In this regard, the tank facility stores a certain amount of oil that is regulated by the Federal spill prevention, control, and countermeasure rule and the tank facility’s location is such that it has a potential threat of discharging or releasing oil into or upon navigable waters of the U.S. or adjoining shoreline.</w:t>
            </w:r>
          </w:p>
          <w:p w14:paraId="12C6D0CB" w14:textId="509AA1B3" w:rsidR="00A86674" w:rsidRPr="009E515B" w:rsidRDefault="00A86674" w:rsidP="00A86674">
            <w:pPr>
              <w:rPr>
                <w:rFonts w:ascii="Arial" w:hAnsi="Arial" w:cs="Arial"/>
                <w:sz w:val="24"/>
                <w:szCs w:val="24"/>
              </w:rPr>
            </w:pPr>
          </w:p>
        </w:tc>
      </w:tr>
      <w:tr w:rsidR="00A86674" w:rsidRPr="009E515B" w14:paraId="2828D757" w14:textId="68D1FBAE" w:rsidTr="00A86674">
        <w:trPr>
          <w:trHeight w:val="144"/>
        </w:trPr>
        <w:tc>
          <w:tcPr>
            <w:tcW w:w="1440" w:type="dxa"/>
          </w:tcPr>
          <w:p w14:paraId="7B20D722" w14:textId="588B349A" w:rsidR="00A86674" w:rsidRPr="009E515B" w:rsidRDefault="003F74CA" w:rsidP="00A86674">
            <w:pPr>
              <w:rPr>
                <w:rFonts w:ascii="Arial" w:hAnsi="Arial" w:cs="Arial"/>
                <w:sz w:val="24"/>
                <w:szCs w:val="24"/>
              </w:rPr>
            </w:pPr>
            <w:hyperlink r:id="rId12" w:history="1">
              <w:r w:rsidR="00A86674" w:rsidRPr="009E515B">
                <w:rPr>
                  <w:rStyle w:val="Hyperlink"/>
                  <w:rFonts w:ascii="Arial" w:hAnsi="Arial" w:cs="Arial"/>
                  <w:b/>
                  <w:bCs/>
                  <w:color w:val="auto"/>
                  <w:sz w:val="24"/>
                  <w:szCs w:val="24"/>
                </w:rPr>
                <w:t>25270.2.</w:t>
              </w:r>
            </w:hyperlink>
          </w:p>
        </w:tc>
        <w:tc>
          <w:tcPr>
            <w:tcW w:w="8640" w:type="dxa"/>
          </w:tcPr>
          <w:p w14:paraId="1D7371FD" w14:textId="5306E039" w:rsidR="00A86674" w:rsidRPr="009E515B" w:rsidRDefault="00A86674" w:rsidP="00A86674">
            <w:pPr>
              <w:rPr>
                <w:rFonts w:ascii="Arial" w:hAnsi="Arial" w:cs="Arial"/>
                <w:b/>
                <w:bCs/>
                <w:sz w:val="24"/>
                <w:szCs w:val="24"/>
              </w:rPr>
            </w:pPr>
            <w:r w:rsidRPr="009E515B">
              <w:rPr>
                <w:rFonts w:ascii="Arial" w:hAnsi="Arial" w:cs="Arial"/>
                <w:b/>
                <w:bCs/>
                <w:sz w:val="24"/>
                <w:szCs w:val="24"/>
              </w:rPr>
              <w:t>Definition of Aggregate Petroleum Storage Capacity</w:t>
            </w:r>
          </w:p>
          <w:p w14:paraId="5F4C5857" w14:textId="3C6ED307" w:rsidR="00A86674" w:rsidRPr="009E515B" w:rsidRDefault="00A86674" w:rsidP="00A86674">
            <w:pPr>
              <w:rPr>
                <w:rFonts w:ascii="Arial" w:hAnsi="Arial" w:cs="Arial"/>
                <w:sz w:val="24"/>
                <w:szCs w:val="24"/>
              </w:rPr>
            </w:pPr>
            <w:r w:rsidRPr="009E515B">
              <w:rPr>
                <w:rFonts w:ascii="Arial" w:hAnsi="Arial" w:cs="Arial"/>
                <w:sz w:val="24"/>
                <w:szCs w:val="24"/>
              </w:rPr>
              <w:t xml:space="preserve">This regulation provide interpretation of the APSA statutes to local Unified Program Agency enforcement entities by providing a detailed definition of aggregate petroleum storage. This definition is consistent with state and federal law.  </w:t>
            </w:r>
          </w:p>
          <w:p w14:paraId="259319E5" w14:textId="77777777" w:rsidR="00A86674" w:rsidRPr="009E515B" w:rsidRDefault="00A86674" w:rsidP="00A86674">
            <w:pPr>
              <w:rPr>
                <w:rFonts w:ascii="Arial" w:hAnsi="Arial" w:cs="Arial"/>
                <w:sz w:val="24"/>
                <w:szCs w:val="24"/>
              </w:rPr>
            </w:pPr>
          </w:p>
          <w:p w14:paraId="09139F04" w14:textId="664FC633" w:rsidR="00A86674" w:rsidRPr="009E515B" w:rsidRDefault="00A86674" w:rsidP="00A86674">
            <w:pPr>
              <w:rPr>
                <w:rFonts w:ascii="Arial" w:hAnsi="Arial" w:cs="Arial"/>
                <w:b/>
                <w:bCs/>
                <w:sz w:val="24"/>
                <w:szCs w:val="24"/>
              </w:rPr>
            </w:pPr>
          </w:p>
        </w:tc>
      </w:tr>
      <w:tr w:rsidR="00A86674" w:rsidRPr="009E515B" w14:paraId="413BD32F" w14:textId="5D22901E" w:rsidTr="00A86674">
        <w:trPr>
          <w:trHeight w:val="144"/>
        </w:trPr>
        <w:tc>
          <w:tcPr>
            <w:tcW w:w="1440" w:type="dxa"/>
          </w:tcPr>
          <w:p w14:paraId="23053D37" w14:textId="4E25AB01" w:rsidR="00A86674" w:rsidRPr="009E515B" w:rsidRDefault="003F74CA" w:rsidP="00A86674">
            <w:pPr>
              <w:rPr>
                <w:rFonts w:ascii="Arial" w:hAnsi="Arial" w:cs="Arial"/>
                <w:sz w:val="24"/>
                <w:szCs w:val="24"/>
              </w:rPr>
            </w:pPr>
            <w:hyperlink r:id="rId13" w:history="1">
              <w:r w:rsidR="00A86674" w:rsidRPr="009E515B">
                <w:rPr>
                  <w:rStyle w:val="Hyperlink"/>
                  <w:rFonts w:ascii="Arial" w:hAnsi="Arial" w:cs="Arial"/>
                  <w:b/>
                  <w:bCs/>
                  <w:color w:val="auto"/>
                  <w:sz w:val="24"/>
                  <w:szCs w:val="24"/>
                </w:rPr>
                <w:t>25270.2.</w:t>
              </w:r>
            </w:hyperlink>
          </w:p>
        </w:tc>
        <w:tc>
          <w:tcPr>
            <w:tcW w:w="8640" w:type="dxa"/>
          </w:tcPr>
          <w:p w14:paraId="3B5A361D" w14:textId="0D90A0E8" w:rsidR="00A86674" w:rsidRPr="009E515B" w:rsidRDefault="00A86674" w:rsidP="00A86674">
            <w:pPr>
              <w:rPr>
                <w:rFonts w:ascii="Arial" w:hAnsi="Arial" w:cs="Arial"/>
                <w:b/>
                <w:bCs/>
                <w:sz w:val="24"/>
                <w:szCs w:val="24"/>
              </w:rPr>
            </w:pPr>
            <w:r w:rsidRPr="009E515B">
              <w:rPr>
                <w:rFonts w:ascii="Arial" w:hAnsi="Arial" w:cs="Arial"/>
                <w:b/>
                <w:bCs/>
                <w:sz w:val="24"/>
                <w:szCs w:val="24"/>
              </w:rPr>
              <w:t>Corrosion (OSFM Definition)</w:t>
            </w:r>
          </w:p>
          <w:p w14:paraId="506C1508" w14:textId="586BE9CC" w:rsidR="00A86674" w:rsidRPr="009E515B" w:rsidRDefault="00A86674" w:rsidP="00A86674">
            <w:pPr>
              <w:rPr>
                <w:rFonts w:ascii="Arial" w:hAnsi="Arial" w:cs="Arial"/>
                <w:sz w:val="24"/>
                <w:szCs w:val="24"/>
              </w:rPr>
            </w:pPr>
            <w:r w:rsidRPr="009E515B">
              <w:rPr>
                <w:rFonts w:ascii="Arial" w:hAnsi="Arial" w:cs="Arial"/>
                <w:sz w:val="24"/>
                <w:szCs w:val="24"/>
              </w:rPr>
              <w:t xml:space="preserve">Corrosion creates vulnerabilities in aboveground petroleum storage tanks, appurtenances, and piping. Corrosion, if not addressed, presents a significant risk of causing leak and spill into the environment, causing contamination problems. </w:t>
            </w:r>
            <w:r w:rsidR="004B0EB1" w:rsidRPr="009E515B">
              <w:rPr>
                <w:rFonts w:ascii="Arial" w:hAnsi="Arial" w:cs="Arial"/>
                <w:sz w:val="24"/>
                <w:szCs w:val="24"/>
              </w:rPr>
              <w:t xml:space="preserve">This regulation is to provide consistency in implementation authority for all UPAs. </w:t>
            </w:r>
          </w:p>
          <w:p w14:paraId="21DC1961" w14:textId="77777777" w:rsidR="00A86674" w:rsidRPr="009E515B" w:rsidRDefault="00A86674" w:rsidP="00A86674">
            <w:pPr>
              <w:rPr>
                <w:rFonts w:ascii="Arial" w:hAnsi="Arial" w:cs="Arial"/>
                <w:sz w:val="24"/>
                <w:szCs w:val="24"/>
              </w:rPr>
            </w:pPr>
          </w:p>
          <w:p w14:paraId="6EA822DE" w14:textId="773B94FC" w:rsidR="00A86674" w:rsidRPr="009E515B" w:rsidRDefault="00A86674" w:rsidP="00A86674">
            <w:pPr>
              <w:rPr>
                <w:rFonts w:ascii="Arial" w:hAnsi="Arial" w:cs="Arial"/>
                <w:sz w:val="24"/>
                <w:szCs w:val="24"/>
              </w:rPr>
            </w:pPr>
            <w:r w:rsidRPr="009E515B">
              <w:rPr>
                <w:rFonts w:ascii="Arial" w:hAnsi="Arial" w:cs="Arial"/>
                <w:sz w:val="24"/>
                <w:szCs w:val="24"/>
              </w:rPr>
              <w:t>Preventive steps taken by the industry and regulatory agencies can reduce the risk of leaks and spills. This requirement is consistent with federal standards.</w:t>
            </w:r>
          </w:p>
          <w:p w14:paraId="4F842473" w14:textId="77777777" w:rsidR="00A86674" w:rsidRPr="009E515B" w:rsidRDefault="00A86674" w:rsidP="00A86674">
            <w:pPr>
              <w:rPr>
                <w:rFonts w:ascii="Arial" w:hAnsi="Arial" w:cs="Arial"/>
                <w:b/>
                <w:bCs/>
                <w:sz w:val="24"/>
                <w:szCs w:val="24"/>
              </w:rPr>
            </w:pPr>
          </w:p>
          <w:p w14:paraId="441E9E22" w14:textId="33BCEB47" w:rsidR="00F42DCD" w:rsidRPr="009E515B" w:rsidRDefault="00F42DCD" w:rsidP="00A86674">
            <w:pPr>
              <w:rPr>
                <w:rFonts w:ascii="Arial" w:hAnsi="Arial" w:cs="Arial"/>
                <w:sz w:val="24"/>
                <w:szCs w:val="24"/>
              </w:rPr>
            </w:pPr>
            <w:r w:rsidRPr="009E515B">
              <w:rPr>
                <w:rFonts w:ascii="Arial" w:hAnsi="Arial" w:cs="Arial"/>
                <w:sz w:val="24"/>
                <w:szCs w:val="24"/>
              </w:rPr>
              <w:t xml:space="preserve">Corrosion impacts many types of piping, and associated support structures. Corrosion is a leading cause of </w:t>
            </w:r>
            <w:r w:rsidR="004B0EB1" w:rsidRPr="009E515B">
              <w:rPr>
                <w:rFonts w:ascii="Arial" w:hAnsi="Arial" w:cs="Arial"/>
                <w:sz w:val="24"/>
                <w:szCs w:val="24"/>
              </w:rPr>
              <w:t xml:space="preserve">structural </w:t>
            </w:r>
            <w:r w:rsidRPr="009E515B">
              <w:rPr>
                <w:rFonts w:ascii="Arial" w:hAnsi="Arial" w:cs="Arial"/>
                <w:sz w:val="24"/>
                <w:szCs w:val="24"/>
              </w:rPr>
              <w:t xml:space="preserve">material failures and </w:t>
            </w:r>
            <w:proofErr w:type="gramStart"/>
            <w:r w:rsidRPr="009E515B">
              <w:rPr>
                <w:rFonts w:ascii="Arial" w:hAnsi="Arial" w:cs="Arial"/>
                <w:sz w:val="24"/>
                <w:szCs w:val="24"/>
              </w:rPr>
              <w:t>releases,</w:t>
            </w:r>
            <w:proofErr w:type="gramEnd"/>
            <w:r w:rsidRPr="009E515B">
              <w:rPr>
                <w:rFonts w:ascii="Arial" w:hAnsi="Arial" w:cs="Arial"/>
                <w:sz w:val="24"/>
                <w:szCs w:val="24"/>
              </w:rPr>
              <w:t xml:space="preserve"> therefore it is necessary to include this requirement in regulations in addition to other materials or training that may include or explain corrosion. </w:t>
            </w:r>
          </w:p>
          <w:p w14:paraId="6B0A6B94" w14:textId="14B02240" w:rsidR="00F42DCD" w:rsidRPr="009E515B" w:rsidRDefault="00F42DCD" w:rsidP="00A86674">
            <w:pPr>
              <w:rPr>
                <w:rFonts w:ascii="Arial" w:hAnsi="Arial" w:cs="Arial"/>
                <w:b/>
                <w:bCs/>
                <w:sz w:val="24"/>
                <w:szCs w:val="24"/>
              </w:rPr>
            </w:pPr>
          </w:p>
        </w:tc>
      </w:tr>
      <w:tr w:rsidR="00A86674" w:rsidRPr="009E515B" w14:paraId="1C0BF5BE" w14:textId="1B6BA4A2" w:rsidTr="00A86674">
        <w:trPr>
          <w:trHeight w:val="144"/>
        </w:trPr>
        <w:tc>
          <w:tcPr>
            <w:tcW w:w="1440" w:type="dxa"/>
          </w:tcPr>
          <w:p w14:paraId="11003E70" w14:textId="3EDAF45E" w:rsidR="00A86674" w:rsidRPr="009E515B" w:rsidRDefault="003F74CA" w:rsidP="00A86674">
            <w:pPr>
              <w:rPr>
                <w:rFonts w:ascii="Arial" w:hAnsi="Arial" w:cs="Arial"/>
                <w:sz w:val="24"/>
                <w:szCs w:val="24"/>
              </w:rPr>
            </w:pPr>
            <w:hyperlink r:id="rId14" w:history="1">
              <w:r w:rsidR="00A86674" w:rsidRPr="009E515B">
                <w:rPr>
                  <w:rStyle w:val="Hyperlink"/>
                  <w:rFonts w:ascii="Arial" w:hAnsi="Arial" w:cs="Arial"/>
                  <w:b/>
                  <w:bCs/>
                  <w:color w:val="auto"/>
                  <w:sz w:val="24"/>
                  <w:szCs w:val="24"/>
                </w:rPr>
                <w:t>25270.2.</w:t>
              </w:r>
            </w:hyperlink>
          </w:p>
        </w:tc>
        <w:tc>
          <w:tcPr>
            <w:tcW w:w="8640" w:type="dxa"/>
          </w:tcPr>
          <w:p w14:paraId="486C46C5" w14:textId="5A97542F" w:rsidR="00A86674" w:rsidRPr="009E515B" w:rsidRDefault="00A86674" w:rsidP="00A86674">
            <w:pPr>
              <w:rPr>
                <w:rFonts w:ascii="Arial" w:hAnsi="Arial" w:cs="Arial"/>
                <w:b/>
                <w:bCs/>
                <w:sz w:val="24"/>
                <w:szCs w:val="24"/>
              </w:rPr>
            </w:pPr>
            <w:r w:rsidRPr="009E515B">
              <w:rPr>
                <w:rFonts w:ascii="Arial" w:hAnsi="Arial" w:cs="Arial"/>
                <w:b/>
                <w:bCs/>
                <w:sz w:val="24"/>
                <w:szCs w:val="24"/>
              </w:rPr>
              <w:t>Waters of the State</w:t>
            </w:r>
          </w:p>
          <w:p w14:paraId="12A34B1D" w14:textId="690693EC" w:rsidR="00A86674" w:rsidRPr="009E515B" w:rsidRDefault="00A86674" w:rsidP="00A86674">
            <w:pPr>
              <w:rPr>
                <w:rFonts w:ascii="Arial" w:hAnsi="Arial" w:cs="Arial"/>
                <w:sz w:val="24"/>
                <w:szCs w:val="24"/>
              </w:rPr>
            </w:pPr>
            <w:r w:rsidRPr="009E515B">
              <w:rPr>
                <w:rFonts w:ascii="Arial" w:hAnsi="Arial" w:cs="Arial"/>
                <w:sz w:val="24"/>
                <w:szCs w:val="24"/>
              </w:rPr>
              <w:t xml:space="preserve">This regulation would provide interpretation of the APSA statutes to local Unified Program Agency enforcement entities by providing the applicable definition for a term that is used in the APSA statute but is not defined in the APSA statute. The definition of “waters of the state” from the Water Code is applicable because it is used for a comparable purpose and jurisdiction. </w:t>
            </w:r>
          </w:p>
        </w:tc>
      </w:tr>
      <w:tr w:rsidR="00A86674" w:rsidRPr="009E515B" w14:paraId="5FF2AB66" w14:textId="504A5D8A" w:rsidTr="00A86674">
        <w:trPr>
          <w:trHeight w:val="144"/>
        </w:trPr>
        <w:tc>
          <w:tcPr>
            <w:tcW w:w="1440" w:type="dxa"/>
          </w:tcPr>
          <w:p w14:paraId="3F8837C8" w14:textId="54E9A29C" w:rsidR="00A86674" w:rsidRPr="009E515B" w:rsidRDefault="003F74CA" w:rsidP="00A86674">
            <w:pPr>
              <w:rPr>
                <w:rFonts w:ascii="Arial" w:hAnsi="Arial" w:cs="Arial"/>
                <w:sz w:val="24"/>
                <w:szCs w:val="24"/>
              </w:rPr>
            </w:pPr>
            <w:hyperlink r:id="rId15" w:history="1">
              <w:r w:rsidR="00A86674" w:rsidRPr="009E515B">
                <w:rPr>
                  <w:rStyle w:val="Hyperlink"/>
                  <w:rFonts w:ascii="Arial" w:hAnsi="Arial" w:cs="Arial"/>
                  <w:b/>
                  <w:bCs/>
                  <w:color w:val="auto"/>
                  <w:sz w:val="24"/>
                  <w:szCs w:val="24"/>
                </w:rPr>
                <w:t>25270.2.</w:t>
              </w:r>
            </w:hyperlink>
          </w:p>
        </w:tc>
        <w:tc>
          <w:tcPr>
            <w:tcW w:w="8640" w:type="dxa"/>
          </w:tcPr>
          <w:p w14:paraId="12B35A52" w14:textId="77777777" w:rsidR="00A86674" w:rsidRPr="009E515B" w:rsidRDefault="00A86674" w:rsidP="00A86674">
            <w:pPr>
              <w:rPr>
                <w:rStyle w:val="cf01"/>
                <w:rFonts w:ascii="Arial" w:hAnsi="Arial" w:cs="Arial"/>
                <w:sz w:val="24"/>
                <w:szCs w:val="24"/>
              </w:rPr>
            </w:pPr>
          </w:p>
          <w:p w14:paraId="6E60E4C9" w14:textId="276BAE33" w:rsidR="00A86674" w:rsidRPr="009E515B" w:rsidRDefault="00A86674" w:rsidP="00A86674">
            <w:pPr>
              <w:rPr>
                <w:rFonts w:ascii="Arial" w:hAnsi="Arial" w:cs="Arial"/>
                <w:b/>
                <w:bCs/>
                <w:sz w:val="24"/>
                <w:szCs w:val="24"/>
              </w:rPr>
            </w:pPr>
            <w:r w:rsidRPr="009E515B">
              <w:rPr>
                <w:rFonts w:ascii="Arial" w:hAnsi="Arial" w:cs="Arial"/>
                <w:b/>
                <w:bCs/>
                <w:sz w:val="24"/>
                <w:szCs w:val="24"/>
              </w:rPr>
              <w:t>Minor Violation</w:t>
            </w:r>
          </w:p>
          <w:p w14:paraId="23858EDF" w14:textId="7A857EDD" w:rsidR="00A86674" w:rsidRPr="009E515B" w:rsidRDefault="00A86674" w:rsidP="00A86674">
            <w:pPr>
              <w:rPr>
                <w:rFonts w:ascii="Arial" w:hAnsi="Arial" w:cs="Arial"/>
                <w:sz w:val="24"/>
                <w:szCs w:val="24"/>
              </w:rPr>
            </w:pPr>
            <w:r w:rsidRPr="009E515B">
              <w:rPr>
                <w:rFonts w:ascii="Arial" w:hAnsi="Arial" w:cs="Arial"/>
                <w:sz w:val="24"/>
                <w:szCs w:val="24"/>
              </w:rPr>
              <w:t xml:space="preserve">This regulation would provide interpretation of the APSA statutes to local Unified Program Agency enforcement entities by including the applicable definition for a term that is used in the APSA statute but is not defined in the APSA statute. </w:t>
            </w:r>
          </w:p>
          <w:p w14:paraId="55C6B83C" w14:textId="77777777" w:rsidR="00A86674" w:rsidRPr="009E515B" w:rsidRDefault="00A86674" w:rsidP="00A86674">
            <w:pPr>
              <w:rPr>
                <w:rFonts w:ascii="Arial" w:hAnsi="Arial" w:cs="Arial"/>
                <w:sz w:val="24"/>
                <w:szCs w:val="24"/>
              </w:rPr>
            </w:pPr>
          </w:p>
          <w:p w14:paraId="0B4F1244" w14:textId="350FDA0C" w:rsidR="00A86674" w:rsidRPr="009E515B" w:rsidRDefault="00A86674" w:rsidP="00A86674">
            <w:pPr>
              <w:rPr>
                <w:rFonts w:ascii="Arial" w:hAnsi="Arial" w:cs="Arial"/>
                <w:sz w:val="24"/>
                <w:szCs w:val="24"/>
              </w:rPr>
            </w:pPr>
            <w:r w:rsidRPr="009E515B">
              <w:rPr>
                <w:rFonts w:ascii="Arial" w:hAnsi="Arial" w:cs="Arial"/>
                <w:sz w:val="24"/>
                <w:szCs w:val="24"/>
              </w:rPr>
              <w:t xml:space="preserve">The definition of “minor violation” from Health and Safety Code Section 25404 is used for this purposed because it is within the scope of the Unified Program Agency framework. Use of this definition maintains the consistency of state enforcement guidance.  </w:t>
            </w:r>
          </w:p>
          <w:p w14:paraId="2D7B2EE2" w14:textId="459E6E05" w:rsidR="00A86674" w:rsidRPr="009E515B" w:rsidRDefault="00A86674" w:rsidP="00A86674">
            <w:pPr>
              <w:rPr>
                <w:rFonts w:ascii="Arial" w:hAnsi="Arial" w:cs="Arial"/>
                <w:b/>
                <w:bCs/>
                <w:sz w:val="24"/>
                <w:szCs w:val="24"/>
              </w:rPr>
            </w:pPr>
          </w:p>
        </w:tc>
      </w:tr>
      <w:tr w:rsidR="00A86674" w:rsidRPr="009E515B" w14:paraId="57AE95D5" w14:textId="470E3441" w:rsidTr="00A86674">
        <w:trPr>
          <w:trHeight w:val="144"/>
        </w:trPr>
        <w:tc>
          <w:tcPr>
            <w:tcW w:w="1440" w:type="dxa"/>
          </w:tcPr>
          <w:p w14:paraId="7BA649D5" w14:textId="49CD6576" w:rsidR="00A86674" w:rsidRPr="009E515B" w:rsidRDefault="003F74CA" w:rsidP="00A86674">
            <w:pPr>
              <w:rPr>
                <w:rFonts w:ascii="Arial" w:hAnsi="Arial" w:cs="Arial"/>
                <w:sz w:val="24"/>
                <w:szCs w:val="24"/>
              </w:rPr>
            </w:pPr>
            <w:hyperlink r:id="rId16" w:history="1">
              <w:r w:rsidR="00A86674" w:rsidRPr="009E515B">
                <w:rPr>
                  <w:rStyle w:val="Hyperlink"/>
                  <w:rFonts w:ascii="Arial" w:hAnsi="Arial" w:cs="Arial"/>
                  <w:b/>
                  <w:bCs/>
                  <w:color w:val="auto"/>
                  <w:sz w:val="24"/>
                  <w:szCs w:val="24"/>
                </w:rPr>
                <w:t>25270.2.</w:t>
              </w:r>
            </w:hyperlink>
          </w:p>
        </w:tc>
        <w:tc>
          <w:tcPr>
            <w:tcW w:w="8640" w:type="dxa"/>
          </w:tcPr>
          <w:p w14:paraId="224A7606" w14:textId="4A246380" w:rsidR="00A86674" w:rsidRPr="009E515B" w:rsidRDefault="00A86674" w:rsidP="00A86674">
            <w:pPr>
              <w:rPr>
                <w:rFonts w:ascii="Arial" w:hAnsi="Arial" w:cs="Arial"/>
                <w:b/>
                <w:bCs/>
                <w:sz w:val="24"/>
                <w:szCs w:val="24"/>
              </w:rPr>
            </w:pPr>
            <w:r w:rsidRPr="009E515B">
              <w:rPr>
                <w:rFonts w:ascii="Arial" w:hAnsi="Arial" w:cs="Arial"/>
                <w:b/>
                <w:bCs/>
                <w:sz w:val="24"/>
                <w:szCs w:val="24"/>
              </w:rPr>
              <w:t>Formal Enforcement and Routine Inspection</w:t>
            </w:r>
          </w:p>
          <w:p w14:paraId="732C817C" w14:textId="3C65A3D2" w:rsidR="00A86674" w:rsidRPr="009E515B" w:rsidRDefault="00A86674" w:rsidP="00A86674">
            <w:pPr>
              <w:rPr>
                <w:rFonts w:ascii="Arial" w:hAnsi="Arial" w:cs="Arial"/>
                <w:sz w:val="24"/>
                <w:szCs w:val="24"/>
              </w:rPr>
            </w:pPr>
            <w:r w:rsidRPr="009E515B">
              <w:rPr>
                <w:rFonts w:ascii="Arial" w:hAnsi="Arial" w:cs="Arial"/>
                <w:sz w:val="24"/>
                <w:szCs w:val="24"/>
              </w:rPr>
              <w:t xml:space="preserve">This regulation would provide interpretation of the APSA statutes to local Unified Program Agency enforcement entities by including the applicable definition for a term that is used in the APSA statute but is not defined in the APSA statute. </w:t>
            </w:r>
          </w:p>
          <w:p w14:paraId="0D706A63" w14:textId="77777777" w:rsidR="00A86674" w:rsidRPr="009E515B" w:rsidRDefault="00A86674" w:rsidP="00A86674">
            <w:pPr>
              <w:rPr>
                <w:rFonts w:ascii="Arial" w:hAnsi="Arial" w:cs="Arial"/>
                <w:sz w:val="24"/>
                <w:szCs w:val="24"/>
              </w:rPr>
            </w:pPr>
          </w:p>
          <w:p w14:paraId="2CAE00A7" w14:textId="572227F3" w:rsidR="00A86674" w:rsidRPr="009E515B" w:rsidRDefault="00A86674" w:rsidP="00A86674">
            <w:pPr>
              <w:rPr>
                <w:rFonts w:ascii="Arial" w:hAnsi="Arial" w:cs="Arial"/>
                <w:sz w:val="24"/>
                <w:szCs w:val="24"/>
              </w:rPr>
            </w:pPr>
            <w:r w:rsidRPr="009E515B">
              <w:rPr>
                <w:rFonts w:ascii="Arial" w:hAnsi="Arial" w:cs="Arial"/>
                <w:sz w:val="24"/>
                <w:szCs w:val="24"/>
              </w:rPr>
              <w:lastRenderedPageBreak/>
              <w:t xml:space="preserve">The definition of “formal enforcement” and “routine inspection,” from the California Code of Regulations Title 27, Sections 15110(e)(1) and 15110(f)(1) are used for this purposed because they are within the scope of the Unified Program Agency framework. Use of this definition maintains the consistency of state enforcement guidance.  </w:t>
            </w:r>
          </w:p>
          <w:p w14:paraId="0D3FA292" w14:textId="77777777" w:rsidR="00A86674" w:rsidRPr="009E515B" w:rsidRDefault="00A86674" w:rsidP="00A86674">
            <w:pPr>
              <w:rPr>
                <w:rFonts w:ascii="Arial" w:hAnsi="Arial" w:cs="Arial"/>
                <w:b/>
                <w:bCs/>
                <w:sz w:val="24"/>
                <w:szCs w:val="24"/>
              </w:rPr>
            </w:pPr>
          </w:p>
        </w:tc>
      </w:tr>
      <w:tr w:rsidR="00A86674" w:rsidRPr="009E515B" w14:paraId="6A5F8DFF" w14:textId="6047B74D" w:rsidTr="00A86674">
        <w:trPr>
          <w:trHeight w:val="144"/>
        </w:trPr>
        <w:tc>
          <w:tcPr>
            <w:tcW w:w="1440" w:type="dxa"/>
          </w:tcPr>
          <w:p w14:paraId="5FB6EBC3" w14:textId="48252D0E" w:rsidR="00A86674" w:rsidRPr="009E515B" w:rsidRDefault="003F74CA" w:rsidP="00A86674">
            <w:pPr>
              <w:rPr>
                <w:rFonts w:ascii="Arial" w:hAnsi="Arial" w:cs="Arial"/>
                <w:sz w:val="24"/>
                <w:szCs w:val="24"/>
              </w:rPr>
            </w:pPr>
            <w:hyperlink r:id="rId17" w:history="1">
              <w:r w:rsidR="00A86674" w:rsidRPr="009E515B">
                <w:rPr>
                  <w:rStyle w:val="Hyperlink"/>
                  <w:rFonts w:ascii="Arial" w:hAnsi="Arial" w:cs="Arial"/>
                  <w:b/>
                  <w:bCs/>
                  <w:color w:val="auto"/>
                  <w:sz w:val="24"/>
                  <w:szCs w:val="24"/>
                </w:rPr>
                <w:t>25270.2.</w:t>
              </w:r>
            </w:hyperlink>
          </w:p>
        </w:tc>
        <w:tc>
          <w:tcPr>
            <w:tcW w:w="8640" w:type="dxa"/>
          </w:tcPr>
          <w:p w14:paraId="0576C2F7" w14:textId="710A1537" w:rsidR="00A86674" w:rsidRPr="009E515B" w:rsidRDefault="00A86674" w:rsidP="00A86674">
            <w:pPr>
              <w:rPr>
                <w:rFonts w:ascii="Arial" w:hAnsi="Arial" w:cs="Arial"/>
                <w:b/>
                <w:bCs/>
                <w:sz w:val="24"/>
                <w:szCs w:val="24"/>
              </w:rPr>
            </w:pPr>
            <w:r w:rsidRPr="009E515B">
              <w:rPr>
                <w:rFonts w:ascii="Arial" w:hAnsi="Arial" w:cs="Arial"/>
                <w:b/>
                <w:bCs/>
                <w:sz w:val="24"/>
                <w:szCs w:val="24"/>
              </w:rPr>
              <w:t>Federal Regulations</w:t>
            </w:r>
          </w:p>
          <w:p w14:paraId="4C6F1D58" w14:textId="77777777" w:rsidR="00A86674" w:rsidRPr="009E515B" w:rsidRDefault="00A86674" w:rsidP="00A86674">
            <w:pPr>
              <w:rPr>
                <w:rFonts w:ascii="Arial" w:hAnsi="Arial" w:cs="Arial"/>
                <w:sz w:val="24"/>
                <w:szCs w:val="24"/>
              </w:rPr>
            </w:pPr>
            <w:r w:rsidRPr="009E515B">
              <w:rPr>
                <w:rFonts w:ascii="Arial" w:hAnsi="Arial" w:cs="Arial"/>
                <w:sz w:val="24"/>
                <w:szCs w:val="24"/>
              </w:rPr>
              <w:t xml:space="preserve">Federal regulations provide the technical basis and framework for enforcement and prevention measures related to petroleum storage. These federal regulations are found in the Code of Federal Regulations Title 40 Part 112. These regulations include the spill prevention, control, and countermeasure plans (SPCC plan). Aboveground Petroleum Storage is one small slice of the petroleum/oil regulatory sphere, therefore some terms used in the federal legislation to describe the entire policy issue </w:t>
            </w:r>
            <w:proofErr w:type="gramStart"/>
            <w:r w:rsidRPr="009E515B">
              <w:rPr>
                <w:rFonts w:ascii="Arial" w:hAnsi="Arial" w:cs="Arial"/>
                <w:sz w:val="24"/>
                <w:szCs w:val="24"/>
              </w:rPr>
              <w:t>not have</w:t>
            </w:r>
            <w:proofErr w:type="gramEnd"/>
            <w:r w:rsidRPr="009E515B">
              <w:rPr>
                <w:rFonts w:ascii="Arial" w:hAnsi="Arial" w:cs="Arial"/>
                <w:sz w:val="24"/>
                <w:szCs w:val="24"/>
              </w:rPr>
              <w:t xml:space="preserve"> the same applicability for APSA. </w:t>
            </w:r>
          </w:p>
          <w:p w14:paraId="6CD2A9B2" w14:textId="185D400E" w:rsidR="00A86674" w:rsidRPr="009E515B" w:rsidRDefault="00A86674" w:rsidP="00A86674">
            <w:pPr>
              <w:rPr>
                <w:rFonts w:ascii="Arial" w:hAnsi="Arial" w:cs="Arial"/>
                <w:sz w:val="24"/>
                <w:szCs w:val="24"/>
              </w:rPr>
            </w:pPr>
          </w:p>
        </w:tc>
      </w:tr>
      <w:tr w:rsidR="00A86674" w:rsidRPr="009E515B" w14:paraId="0B4FA8B5" w14:textId="3F618C5B" w:rsidTr="00A86674">
        <w:tc>
          <w:tcPr>
            <w:tcW w:w="1440" w:type="dxa"/>
          </w:tcPr>
          <w:p w14:paraId="1B52E991" w14:textId="08518EA9" w:rsidR="00A86674" w:rsidRPr="009E515B" w:rsidRDefault="003F74CA" w:rsidP="00A86674">
            <w:pPr>
              <w:rPr>
                <w:rFonts w:ascii="Arial" w:eastAsia="Times New Roman" w:hAnsi="Arial" w:cs="Arial"/>
                <w:b/>
                <w:bCs/>
                <w:sz w:val="24"/>
                <w:szCs w:val="24"/>
              </w:rPr>
            </w:pPr>
            <w:hyperlink r:id="rId18" w:history="1">
              <w:r w:rsidR="00A86674" w:rsidRPr="009E515B">
                <w:rPr>
                  <w:rStyle w:val="Hyperlink"/>
                  <w:rFonts w:ascii="Arial" w:eastAsia="Times New Roman" w:hAnsi="Arial" w:cs="Arial"/>
                  <w:b/>
                  <w:bCs/>
                  <w:color w:val="auto"/>
                  <w:sz w:val="24"/>
                  <w:szCs w:val="24"/>
                  <w:bdr w:val="none" w:sz="0" w:space="0" w:color="auto" w:frame="1"/>
                </w:rPr>
                <w:t>25270.4.</w:t>
              </w:r>
            </w:hyperlink>
            <w:r w:rsidR="00A86674" w:rsidRPr="009E515B">
              <w:rPr>
                <w:rStyle w:val="Hyperlink"/>
                <w:rFonts w:ascii="Arial" w:eastAsia="Times New Roman" w:hAnsi="Arial" w:cs="Arial"/>
                <w:b/>
                <w:bCs/>
                <w:color w:val="auto"/>
                <w:sz w:val="24"/>
                <w:szCs w:val="24"/>
                <w:bdr w:val="none" w:sz="0" w:space="0" w:color="auto" w:frame="1"/>
              </w:rPr>
              <w:t xml:space="preserve"> </w:t>
            </w:r>
            <w:r w:rsidR="00A86674" w:rsidRPr="009E515B">
              <w:rPr>
                <w:rStyle w:val="Hyperlink"/>
                <w:rFonts w:ascii="Arial" w:hAnsi="Arial" w:cs="Arial"/>
                <w:color w:val="auto"/>
                <w:sz w:val="24"/>
                <w:szCs w:val="24"/>
                <w:bdr w:val="none" w:sz="0" w:space="0" w:color="auto" w:frame="1"/>
              </w:rPr>
              <w:t>and 25404.2</w:t>
            </w:r>
          </w:p>
        </w:tc>
        <w:tc>
          <w:tcPr>
            <w:tcW w:w="8640" w:type="dxa"/>
          </w:tcPr>
          <w:p w14:paraId="17F30DE9" w14:textId="16772741" w:rsidR="00A86674" w:rsidRPr="009E515B" w:rsidRDefault="00A86674" w:rsidP="00A86674">
            <w:pPr>
              <w:rPr>
                <w:rFonts w:ascii="Arial" w:hAnsi="Arial" w:cs="Arial"/>
                <w:b/>
                <w:bCs/>
                <w:sz w:val="24"/>
                <w:szCs w:val="24"/>
              </w:rPr>
            </w:pPr>
            <w:r w:rsidRPr="009E515B">
              <w:rPr>
                <w:rFonts w:ascii="Arial" w:hAnsi="Arial" w:cs="Arial"/>
                <w:b/>
                <w:bCs/>
                <w:sz w:val="24"/>
                <w:szCs w:val="24"/>
              </w:rPr>
              <w:t xml:space="preserve">UPA Enforcement (a)-(c) </w:t>
            </w:r>
          </w:p>
          <w:p w14:paraId="1DF3DC40" w14:textId="7DBD1459" w:rsidR="00A86674" w:rsidRPr="009E515B" w:rsidRDefault="00A86674" w:rsidP="00A86674">
            <w:pPr>
              <w:rPr>
                <w:rFonts w:ascii="Arial" w:hAnsi="Arial" w:cs="Arial"/>
                <w:sz w:val="24"/>
                <w:szCs w:val="24"/>
              </w:rPr>
            </w:pPr>
            <w:r w:rsidRPr="009E515B">
              <w:rPr>
                <w:rFonts w:ascii="Arial" w:hAnsi="Arial" w:cs="Arial"/>
                <w:sz w:val="24"/>
                <w:szCs w:val="24"/>
              </w:rPr>
              <w:t xml:space="preserve">These subsections make explicit the jurisdictional responsibilities of CUPAs.  APSA specifies that the purpose of an aboveground storage tank inspection is to determine whether the owner or operator </w:t>
            </w:r>
            <w:proofErr w:type="gramStart"/>
            <w:r w:rsidRPr="009E515B">
              <w:rPr>
                <w:rFonts w:ascii="Arial" w:hAnsi="Arial" w:cs="Arial"/>
                <w:sz w:val="24"/>
                <w:szCs w:val="24"/>
              </w:rPr>
              <w:t>is in compliance with</w:t>
            </w:r>
            <w:proofErr w:type="gramEnd"/>
            <w:r w:rsidRPr="009E515B">
              <w:rPr>
                <w:rFonts w:ascii="Arial" w:hAnsi="Arial" w:cs="Arial"/>
                <w:sz w:val="24"/>
                <w:szCs w:val="24"/>
              </w:rPr>
              <w:t xml:space="preserve"> the SPCC plan requirements in Chapter 6.67. Per AB 1130, they do not specifically provide authority for independent evaluation of the recommendations or provisions in SPCC plans, but require review to ensure that an SPCC plan complies with federal regulations and is implemented in compliance with federal regulations. </w:t>
            </w:r>
          </w:p>
          <w:p w14:paraId="1FB5D688" w14:textId="77777777" w:rsidR="00A86674" w:rsidRPr="009E515B" w:rsidRDefault="00A86674" w:rsidP="00A86674">
            <w:pPr>
              <w:rPr>
                <w:rFonts w:ascii="Arial" w:hAnsi="Arial" w:cs="Arial"/>
                <w:sz w:val="24"/>
                <w:szCs w:val="24"/>
              </w:rPr>
            </w:pPr>
          </w:p>
          <w:p w14:paraId="6BA64E11" w14:textId="22E3FEE2" w:rsidR="00A86674" w:rsidRPr="009E515B" w:rsidRDefault="00A86674" w:rsidP="00A86674">
            <w:pPr>
              <w:rPr>
                <w:rFonts w:ascii="Arial" w:hAnsi="Arial" w:cs="Arial"/>
                <w:sz w:val="24"/>
                <w:szCs w:val="24"/>
              </w:rPr>
            </w:pPr>
            <w:r w:rsidRPr="009E515B">
              <w:rPr>
                <w:rFonts w:ascii="Arial" w:hAnsi="Arial" w:cs="Arial"/>
                <w:sz w:val="24"/>
                <w:szCs w:val="24"/>
              </w:rPr>
              <w:t>This proposed regulation will assist in consistent implementation and enforcement of the APSA by the UPAs throughout the State of California and, in implementing this proposed regulation, the UPAs will ensure that minimum requirements are being met by each regulated tank facility for compliance with the APSA.</w:t>
            </w:r>
          </w:p>
          <w:p w14:paraId="65BFF197" w14:textId="77777777" w:rsidR="00A86674" w:rsidRPr="009E515B" w:rsidRDefault="00A86674" w:rsidP="00A86674">
            <w:pPr>
              <w:rPr>
                <w:rFonts w:ascii="Arial" w:hAnsi="Arial" w:cs="Arial"/>
                <w:sz w:val="24"/>
                <w:szCs w:val="24"/>
              </w:rPr>
            </w:pPr>
          </w:p>
          <w:p w14:paraId="374C4F80" w14:textId="02051C07" w:rsidR="00A86674" w:rsidRPr="009E515B" w:rsidRDefault="00A86674" w:rsidP="00A86674">
            <w:pPr>
              <w:rPr>
                <w:rFonts w:ascii="Arial" w:hAnsi="Arial" w:cs="Arial"/>
                <w:sz w:val="24"/>
                <w:szCs w:val="24"/>
              </w:rPr>
            </w:pPr>
            <w:proofErr w:type="gramStart"/>
            <w:r w:rsidRPr="009E515B">
              <w:rPr>
                <w:rFonts w:ascii="Arial" w:hAnsi="Arial" w:cs="Arial"/>
                <w:sz w:val="24"/>
                <w:szCs w:val="24"/>
              </w:rPr>
              <w:t>UPAs</w:t>
            </w:r>
            <w:proofErr w:type="gramEnd"/>
            <w:r w:rsidRPr="009E515B">
              <w:rPr>
                <w:rFonts w:ascii="Arial" w:hAnsi="Arial" w:cs="Arial"/>
                <w:sz w:val="24"/>
                <w:szCs w:val="24"/>
              </w:rPr>
              <w:t xml:space="preserve"> have other Unified Program jurisdictional responsibilities outside of the APSA, they also may be implementing local ordinances. These additional authorities may provide the UPAs with the ability to make independent judgments on facilities or operations under other the legal or regulatory authorities.</w:t>
            </w:r>
          </w:p>
          <w:p w14:paraId="5F58E8A3" w14:textId="77777777" w:rsidR="00A86674" w:rsidRPr="009E515B" w:rsidRDefault="00A86674" w:rsidP="00A86674">
            <w:pPr>
              <w:rPr>
                <w:rFonts w:ascii="Arial" w:hAnsi="Arial" w:cs="Arial"/>
                <w:b/>
                <w:bCs/>
                <w:sz w:val="24"/>
                <w:szCs w:val="24"/>
              </w:rPr>
            </w:pPr>
          </w:p>
          <w:p w14:paraId="2F9A7D62" w14:textId="1910E7C0" w:rsidR="00A86674" w:rsidRPr="009E515B" w:rsidRDefault="00A86674" w:rsidP="00A86674">
            <w:pPr>
              <w:rPr>
                <w:rFonts w:ascii="Arial" w:hAnsi="Arial" w:cs="Arial"/>
                <w:b/>
                <w:bCs/>
                <w:sz w:val="24"/>
                <w:szCs w:val="24"/>
              </w:rPr>
            </w:pPr>
            <w:r w:rsidRPr="009E515B">
              <w:rPr>
                <w:rFonts w:ascii="Arial" w:hAnsi="Arial" w:cs="Arial"/>
                <w:b/>
                <w:bCs/>
                <w:sz w:val="24"/>
                <w:szCs w:val="24"/>
              </w:rPr>
              <w:t xml:space="preserve">(d) </w:t>
            </w:r>
          </w:p>
          <w:p w14:paraId="153A1F19" w14:textId="165DE1D5" w:rsidR="00A86674" w:rsidRPr="009E515B" w:rsidRDefault="00A86674" w:rsidP="00A86674">
            <w:pPr>
              <w:rPr>
                <w:rFonts w:ascii="Arial" w:hAnsi="Arial" w:cs="Arial"/>
                <w:sz w:val="24"/>
                <w:szCs w:val="24"/>
              </w:rPr>
            </w:pPr>
            <w:r w:rsidRPr="009E515B">
              <w:rPr>
                <w:rFonts w:ascii="Arial" w:hAnsi="Arial" w:cs="Arial"/>
                <w:sz w:val="24"/>
                <w:szCs w:val="24"/>
              </w:rPr>
              <w:t xml:space="preserve">Federal enforcement guidance specifies that the failure to prepare an SPCC Plan is not a minor violation. </w:t>
            </w:r>
            <w:r w:rsidR="004C666F" w:rsidRPr="009E515B">
              <w:rPr>
                <w:rFonts w:ascii="Arial" w:hAnsi="Arial" w:cs="Arial"/>
                <w:sz w:val="24"/>
                <w:szCs w:val="24"/>
              </w:rPr>
              <w:t xml:space="preserve">This regulation is consistent with federal enforcement regarding failure to prepare an SPCC Plan. </w:t>
            </w:r>
            <w:r w:rsidRPr="009E515B">
              <w:rPr>
                <w:rFonts w:ascii="Arial" w:hAnsi="Arial" w:cs="Arial"/>
                <w:sz w:val="24"/>
                <w:szCs w:val="24"/>
              </w:rPr>
              <w:t xml:space="preserve">This requirement is specifically </w:t>
            </w:r>
            <w:r w:rsidR="004C666F" w:rsidRPr="009E515B">
              <w:rPr>
                <w:rFonts w:ascii="Arial" w:hAnsi="Arial" w:cs="Arial"/>
                <w:sz w:val="24"/>
                <w:szCs w:val="24"/>
              </w:rPr>
              <w:t xml:space="preserve">highlighted </w:t>
            </w:r>
            <w:r w:rsidRPr="009E515B">
              <w:rPr>
                <w:rFonts w:ascii="Arial" w:hAnsi="Arial" w:cs="Arial"/>
                <w:sz w:val="24"/>
                <w:szCs w:val="24"/>
              </w:rPr>
              <w:t>in these regulations because</w:t>
            </w:r>
            <w:r w:rsidR="004C666F" w:rsidRPr="009E515B">
              <w:rPr>
                <w:rFonts w:ascii="Arial" w:hAnsi="Arial" w:cs="Arial"/>
                <w:sz w:val="24"/>
                <w:szCs w:val="24"/>
              </w:rPr>
              <w:t xml:space="preserve"> UPAs have challenged the OSFM’s interpretation of state and federal law regarding failure to prepare an SPCC Plan</w:t>
            </w:r>
            <w:r w:rsidRPr="009E515B">
              <w:rPr>
                <w:rFonts w:ascii="Arial" w:hAnsi="Arial" w:cs="Arial"/>
                <w:sz w:val="24"/>
                <w:szCs w:val="24"/>
              </w:rPr>
              <w:t xml:space="preserve">. </w:t>
            </w:r>
          </w:p>
          <w:p w14:paraId="6EB7D766" w14:textId="77777777" w:rsidR="00A86674" w:rsidRPr="009E515B" w:rsidRDefault="00A86674" w:rsidP="00A86674">
            <w:pPr>
              <w:rPr>
                <w:rFonts w:ascii="Arial" w:hAnsi="Arial" w:cs="Arial"/>
                <w:b/>
                <w:bCs/>
                <w:sz w:val="24"/>
                <w:szCs w:val="24"/>
              </w:rPr>
            </w:pPr>
          </w:p>
          <w:p w14:paraId="36A53C8D" w14:textId="77777777" w:rsidR="00A86674" w:rsidRPr="009E515B" w:rsidRDefault="00A86674" w:rsidP="00A86674">
            <w:pPr>
              <w:rPr>
                <w:rFonts w:ascii="Arial" w:hAnsi="Arial" w:cs="Arial"/>
                <w:b/>
                <w:bCs/>
                <w:sz w:val="24"/>
                <w:szCs w:val="24"/>
              </w:rPr>
            </w:pPr>
          </w:p>
          <w:p w14:paraId="0FE9EEB4" w14:textId="7C162953" w:rsidR="00A86674" w:rsidRPr="009E515B" w:rsidRDefault="00A86674" w:rsidP="00A86674">
            <w:pPr>
              <w:rPr>
                <w:rFonts w:ascii="Arial" w:hAnsi="Arial" w:cs="Arial"/>
                <w:b/>
                <w:bCs/>
                <w:sz w:val="24"/>
                <w:szCs w:val="24"/>
              </w:rPr>
            </w:pPr>
            <w:r w:rsidRPr="009E515B">
              <w:rPr>
                <w:rFonts w:ascii="Arial" w:hAnsi="Arial" w:cs="Arial"/>
                <w:b/>
                <w:bCs/>
                <w:sz w:val="24"/>
                <w:szCs w:val="24"/>
              </w:rPr>
              <w:t>(e)</w:t>
            </w:r>
          </w:p>
          <w:p w14:paraId="6FF4825B" w14:textId="55FEF25C" w:rsidR="00A86674" w:rsidRPr="009E515B" w:rsidRDefault="00F62824" w:rsidP="00A86674">
            <w:pPr>
              <w:rPr>
                <w:rFonts w:ascii="Arial" w:hAnsi="Arial" w:cs="Arial"/>
                <w:sz w:val="24"/>
                <w:szCs w:val="24"/>
              </w:rPr>
            </w:pPr>
            <w:r w:rsidRPr="009E515B">
              <w:rPr>
                <w:rFonts w:ascii="Arial" w:hAnsi="Arial" w:cs="Arial"/>
                <w:sz w:val="24"/>
                <w:szCs w:val="24"/>
              </w:rPr>
              <w:t xml:space="preserve">This </w:t>
            </w:r>
            <w:r w:rsidR="00A86674" w:rsidRPr="009E515B">
              <w:rPr>
                <w:rFonts w:ascii="Arial" w:hAnsi="Arial" w:cs="Arial"/>
                <w:sz w:val="24"/>
                <w:szCs w:val="24"/>
              </w:rPr>
              <w:t xml:space="preserve">subsection clarifies specific enforcement responsibilities. This requirement is clarified in these regulations because the </w:t>
            </w:r>
            <w:r w:rsidRPr="009E515B">
              <w:rPr>
                <w:rFonts w:ascii="Arial" w:hAnsi="Arial" w:cs="Arial"/>
                <w:sz w:val="24"/>
                <w:szCs w:val="24"/>
              </w:rPr>
              <w:t xml:space="preserve">OSFM has observed through enforcement efforts that the </w:t>
            </w:r>
            <w:r w:rsidR="00A86674" w:rsidRPr="009E515B">
              <w:rPr>
                <w:rFonts w:ascii="Arial" w:hAnsi="Arial" w:cs="Arial"/>
                <w:sz w:val="24"/>
                <w:szCs w:val="24"/>
              </w:rPr>
              <w:t xml:space="preserve">requirement has not been consistently implemented by UPAs.  </w:t>
            </w:r>
            <w:r w:rsidR="007701E4" w:rsidRPr="009E515B">
              <w:rPr>
                <w:rFonts w:ascii="Arial" w:hAnsi="Arial" w:cs="Arial"/>
                <w:sz w:val="24"/>
                <w:szCs w:val="24"/>
              </w:rPr>
              <w:t xml:space="preserve">This regulation clarifies that the UPAs </w:t>
            </w:r>
            <w:proofErr w:type="gramStart"/>
            <w:r w:rsidR="007701E4" w:rsidRPr="009E515B">
              <w:rPr>
                <w:rFonts w:ascii="Arial" w:hAnsi="Arial" w:cs="Arial"/>
                <w:sz w:val="24"/>
                <w:szCs w:val="24"/>
              </w:rPr>
              <w:t>do</w:t>
            </w:r>
            <w:proofErr w:type="gramEnd"/>
            <w:r w:rsidR="007701E4" w:rsidRPr="009E515B">
              <w:rPr>
                <w:rFonts w:ascii="Arial" w:hAnsi="Arial" w:cs="Arial"/>
                <w:sz w:val="24"/>
                <w:szCs w:val="24"/>
              </w:rPr>
              <w:t xml:space="preserve"> have enforcement authority for non</w:t>
            </w:r>
            <w:r w:rsidRPr="009E515B">
              <w:rPr>
                <w:rFonts w:ascii="Arial" w:hAnsi="Arial" w:cs="Arial"/>
                <w:sz w:val="24"/>
                <w:szCs w:val="24"/>
              </w:rPr>
              <w:t xml:space="preserve"> minor violations. </w:t>
            </w:r>
          </w:p>
          <w:p w14:paraId="1FA445CA" w14:textId="77777777" w:rsidR="00A86674" w:rsidRPr="009E515B" w:rsidRDefault="00A86674" w:rsidP="00A86674">
            <w:pPr>
              <w:rPr>
                <w:rFonts w:ascii="Arial" w:hAnsi="Arial" w:cs="Arial"/>
                <w:b/>
                <w:bCs/>
                <w:sz w:val="24"/>
                <w:szCs w:val="24"/>
              </w:rPr>
            </w:pPr>
          </w:p>
          <w:p w14:paraId="5E57600B" w14:textId="1C77166E" w:rsidR="00A86674" w:rsidRPr="009E515B" w:rsidRDefault="00A86674" w:rsidP="00A86674">
            <w:pPr>
              <w:rPr>
                <w:rFonts w:ascii="Arial" w:hAnsi="Arial" w:cs="Arial"/>
                <w:b/>
                <w:bCs/>
                <w:sz w:val="24"/>
                <w:szCs w:val="24"/>
              </w:rPr>
            </w:pPr>
            <w:r w:rsidRPr="009E515B">
              <w:rPr>
                <w:rFonts w:ascii="Arial" w:hAnsi="Arial" w:cs="Arial"/>
                <w:b/>
                <w:bCs/>
                <w:sz w:val="24"/>
                <w:szCs w:val="24"/>
              </w:rPr>
              <w:t>(f)</w:t>
            </w:r>
          </w:p>
          <w:p w14:paraId="709C16D4" w14:textId="61589E10" w:rsidR="00A86674" w:rsidRPr="009E515B" w:rsidRDefault="00A86674" w:rsidP="00A86674">
            <w:pPr>
              <w:rPr>
                <w:rFonts w:ascii="Arial" w:hAnsi="Arial" w:cs="Arial"/>
                <w:sz w:val="24"/>
                <w:szCs w:val="24"/>
              </w:rPr>
            </w:pPr>
            <w:r w:rsidRPr="009E515B">
              <w:rPr>
                <w:rFonts w:ascii="Arial" w:hAnsi="Arial" w:cs="Arial"/>
                <w:sz w:val="24"/>
                <w:szCs w:val="24"/>
              </w:rPr>
              <w:t>This regulation is necessary due to an existing set of violations that has remained uncorrected for several years.</w:t>
            </w:r>
            <w:r w:rsidR="00FA1F46" w:rsidRPr="009E515B">
              <w:rPr>
                <w:rFonts w:ascii="Arial" w:hAnsi="Arial" w:cs="Arial"/>
                <w:sz w:val="24"/>
                <w:szCs w:val="24"/>
              </w:rPr>
              <w:t xml:space="preserve"> The documentation for these violations is found in the California Environmental Reporting System (CERS) database.</w:t>
            </w:r>
            <w:r w:rsidRPr="009E515B">
              <w:rPr>
                <w:rFonts w:ascii="Arial" w:hAnsi="Arial" w:cs="Arial"/>
                <w:sz w:val="24"/>
                <w:szCs w:val="24"/>
              </w:rPr>
              <w:t xml:space="preserve"> This is required for consistent implementation throughout the State. </w:t>
            </w:r>
          </w:p>
          <w:p w14:paraId="23595330" w14:textId="77777777" w:rsidR="00A86674" w:rsidRPr="009E515B" w:rsidRDefault="00A86674" w:rsidP="00A86674">
            <w:pPr>
              <w:rPr>
                <w:rFonts w:ascii="Arial" w:hAnsi="Arial" w:cs="Arial"/>
                <w:b/>
                <w:bCs/>
                <w:sz w:val="24"/>
                <w:szCs w:val="24"/>
              </w:rPr>
            </w:pPr>
          </w:p>
          <w:p w14:paraId="47606FA5" w14:textId="11594BAA" w:rsidR="00A86674" w:rsidRPr="009E515B" w:rsidRDefault="00A86674" w:rsidP="00A86674">
            <w:pPr>
              <w:rPr>
                <w:rFonts w:ascii="Arial" w:hAnsi="Arial" w:cs="Arial"/>
                <w:sz w:val="24"/>
                <w:szCs w:val="24"/>
              </w:rPr>
            </w:pPr>
            <w:r w:rsidRPr="009E515B">
              <w:rPr>
                <w:rFonts w:ascii="Arial" w:hAnsi="Arial" w:cs="Arial"/>
                <w:sz w:val="24"/>
                <w:szCs w:val="24"/>
              </w:rPr>
              <w:t xml:space="preserve">The </w:t>
            </w:r>
            <w:r w:rsidR="00FA1F46" w:rsidRPr="009E515B">
              <w:rPr>
                <w:rFonts w:ascii="Arial" w:hAnsi="Arial" w:cs="Arial"/>
                <w:sz w:val="24"/>
                <w:szCs w:val="24"/>
              </w:rPr>
              <w:t>6-year</w:t>
            </w:r>
            <w:r w:rsidRPr="009E515B">
              <w:rPr>
                <w:rFonts w:ascii="Arial" w:hAnsi="Arial" w:cs="Arial"/>
                <w:sz w:val="24"/>
                <w:szCs w:val="24"/>
              </w:rPr>
              <w:t xml:space="preserve"> timeframe is consistent with 2</w:t>
            </w:r>
            <w:r w:rsidR="00FA1F46" w:rsidRPr="009E515B">
              <w:rPr>
                <w:rFonts w:ascii="Arial" w:hAnsi="Arial" w:cs="Arial"/>
                <w:sz w:val="24"/>
                <w:szCs w:val="24"/>
              </w:rPr>
              <w:t>triennial</w:t>
            </w:r>
            <w:r w:rsidRPr="009E515B">
              <w:rPr>
                <w:rFonts w:ascii="Arial" w:hAnsi="Arial" w:cs="Arial"/>
                <w:sz w:val="24"/>
                <w:szCs w:val="24"/>
              </w:rPr>
              <w:t xml:space="preserve"> inspection cycles. This provides sufficient time to maintain public safety while not imposing an overly burdensome timeframe on either UPAs or owner-operators. </w:t>
            </w:r>
          </w:p>
          <w:p w14:paraId="145D4713" w14:textId="7048F17F" w:rsidR="00277B3C" w:rsidRPr="009E515B" w:rsidRDefault="00952C30" w:rsidP="00952C30">
            <w:pPr>
              <w:rPr>
                <w:rFonts w:ascii="Arial" w:hAnsi="Arial" w:cs="Arial"/>
                <w:sz w:val="24"/>
                <w:szCs w:val="24"/>
              </w:rPr>
            </w:pPr>
            <w:r w:rsidRPr="009E515B">
              <w:rPr>
                <w:rFonts w:ascii="Arial" w:hAnsi="Arial" w:cs="Arial"/>
                <w:sz w:val="24"/>
                <w:szCs w:val="24"/>
              </w:rPr>
              <w:t xml:space="preserve">This is not a new </w:t>
            </w:r>
            <w:proofErr w:type="gramStart"/>
            <w:r w:rsidRPr="009E515B">
              <w:rPr>
                <w:rFonts w:ascii="Arial" w:hAnsi="Arial" w:cs="Arial"/>
                <w:sz w:val="24"/>
                <w:szCs w:val="24"/>
              </w:rPr>
              <w:t>cost,</w:t>
            </w:r>
            <w:proofErr w:type="gramEnd"/>
            <w:r w:rsidRPr="009E515B">
              <w:rPr>
                <w:rFonts w:ascii="Arial" w:hAnsi="Arial" w:cs="Arial"/>
                <w:sz w:val="24"/>
                <w:szCs w:val="24"/>
              </w:rPr>
              <w:t xml:space="preserve"> it is aligned with the other elements of the CUPA program.  This regulation is required </w:t>
            </w:r>
            <w:proofErr w:type="gramStart"/>
            <w:r w:rsidRPr="009E515B">
              <w:rPr>
                <w:rFonts w:ascii="Arial" w:hAnsi="Arial" w:cs="Arial"/>
                <w:sz w:val="24"/>
                <w:szCs w:val="24"/>
              </w:rPr>
              <w:t>in order to</w:t>
            </w:r>
            <w:proofErr w:type="gramEnd"/>
            <w:r w:rsidRPr="009E515B">
              <w:rPr>
                <w:rFonts w:ascii="Arial" w:hAnsi="Arial" w:cs="Arial"/>
                <w:sz w:val="24"/>
                <w:szCs w:val="24"/>
              </w:rPr>
              <w:t xml:space="preserve"> ensure that reports are delivered to the correct individual within the specified timeframe. It is necessary because there have been instances of reports provided to other individuals which may cause delays. </w:t>
            </w:r>
          </w:p>
          <w:p w14:paraId="4CC32694" w14:textId="77777777" w:rsidR="00952C30" w:rsidRPr="009E515B" w:rsidRDefault="00952C30" w:rsidP="00A86674">
            <w:pPr>
              <w:rPr>
                <w:rFonts w:ascii="Arial" w:hAnsi="Arial" w:cs="Arial"/>
                <w:sz w:val="24"/>
                <w:szCs w:val="24"/>
              </w:rPr>
            </w:pPr>
          </w:p>
          <w:p w14:paraId="21504DFF" w14:textId="77777777" w:rsidR="00952C30" w:rsidRPr="009E515B" w:rsidRDefault="00952C30" w:rsidP="00952C30">
            <w:pPr>
              <w:rPr>
                <w:rFonts w:ascii="Arial" w:hAnsi="Arial" w:cs="Arial"/>
                <w:sz w:val="24"/>
                <w:szCs w:val="24"/>
              </w:rPr>
            </w:pPr>
            <w:r w:rsidRPr="009E515B">
              <w:rPr>
                <w:rFonts w:ascii="Arial" w:hAnsi="Arial" w:cs="Arial"/>
                <w:sz w:val="24"/>
                <w:szCs w:val="24"/>
              </w:rPr>
              <w:t>Title 27, §15200(a)(1) Currently, the regulation requires provisions to administer all program elements. The new language identifies what provisions must be identified for a complete inspection process, including pre-inspection, on and off-site inspections, post inspections, and re-inspections.</w:t>
            </w:r>
          </w:p>
          <w:p w14:paraId="20CCFF4A" w14:textId="77777777" w:rsidR="00952C30" w:rsidRPr="009E515B" w:rsidRDefault="00952C30" w:rsidP="00952C30">
            <w:pPr>
              <w:rPr>
                <w:rFonts w:ascii="Arial" w:hAnsi="Arial" w:cs="Arial"/>
                <w:sz w:val="24"/>
                <w:szCs w:val="24"/>
              </w:rPr>
            </w:pPr>
          </w:p>
          <w:p w14:paraId="0F2128B1" w14:textId="387051E4" w:rsidR="00277B3C" w:rsidRPr="009E515B" w:rsidRDefault="00952C30" w:rsidP="00A86674">
            <w:pPr>
              <w:rPr>
                <w:rFonts w:ascii="Arial" w:hAnsi="Arial" w:cs="Arial"/>
                <w:sz w:val="24"/>
                <w:szCs w:val="24"/>
              </w:rPr>
            </w:pPr>
            <w:r w:rsidRPr="009E515B">
              <w:rPr>
                <w:rFonts w:ascii="Arial" w:hAnsi="Arial" w:cs="Arial"/>
                <w:sz w:val="24"/>
                <w:szCs w:val="24"/>
              </w:rPr>
              <w:t>Title 27, §15200(a)(3) Added the requirement to consolidate Unified Program inspections when appropriate. For example, a regulated business that is subject to Hazardous Material Business Plan and Hazardous Waste Generator requirements would not receive two inspections over two days but would have all inspections conducted on the same day.</w:t>
            </w:r>
          </w:p>
          <w:p w14:paraId="341A2DD5" w14:textId="77777777" w:rsidR="00952C30" w:rsidRPr="009E515B" w:rsidRDefault="00A86674" w:rsidP="00A86674">
            <w:pPr>
              <w:rPr>
                <w:rFonts w:ascii="Arial" w:hAnsi="Arial" w:cs="Arial"/>
                <w:b/>
                <w:bCs/>
                <w:sz w:val="24"/>
                <w:szCs w:val="24"/>
              </w:rPr>
            </w:pPr>
            <w:r w:rsidRPr="009E515B">
              <w:rPr>
                <w:rFonts w:ascii="Arial" w:hAnsi="Arial" w:cs="Arial"/>
                <w:sz w:val="24"/>
                <w:szCs w:val="24"/>
              </w:rPr>
              <w:t>(</w:t>
            </w:r>
            <w:r w:rsidRPr="009E515B">
              <w:rPr>
                <w:rFonts w:ascii="Arial" w:hAnsi="Arial" w:cs="Arial"/>
                <w:b/>
                <w:bCs/>
                <w:sz w:val="24"/>
                <w:szCs w:val="24"/>
              </w:rPr>
              <w:t xml:space="preserve">g) </w:t>
            </w:r>
          </w:p>
          <w:p w14:paraId="1169F2EF" w14:textId="4D904E57" w:rsidR="00C76B61" w:rsidRPr="009E515B" w:rsidRDefault="00A86674" w:rsidP="00A86674">
            <w:pPr>
              <w:rPr>
                <w:rFonts w:ascii="Arial" w:hAnsi="Arial" w:cs="Arial"/>
                <w:b/>
                <w:bCs/>
                <w:sz w:val="24"/>
                <w:szCs w:val="24"/>
              </w:rPr>
            </w:pPr>
            <w:r w:rsidRPr="009E515B">
              <w:rPr>
                <w:rFonts w:ascii="Arial" w:hAnsi="Arial" w:cs="Arial"/>
                <w:sz w:val="24"/>
                <w:szCs w:val="24"/>
              </w:rPr>
              <w:t xml:space="preserve">This </w:t>
            </w:r>
            <w:proofErr w:type="gramStart"/>
            <w:r w:rsidRPr="009E515B">
              <w:rPr>
                <w:rFonts w:ascii="Arial" w:hAnsi="Arial" w:cs="Arial"/>
                <w:sz w:val="24"/>
                <w:szCs w:val="24"/>
              </w:rPr>
              <w:t>30 day</w:t>
            </w:r>
            <w:proofErr w:type="gramEnd"/>
            <w:r w:rsidRPr="009E515B">
              <w:rPr>
                <w:rFonts w:ascii="Arial" w:hAnsi="Arial" w:cs="Arial"/>
                <w:sz w:val="24"/>
                <w:szCs w:val="24"/>
              </w:rPr>
              <w:t xml:space="preserve"> timeframe is the statutory timeline to correct minor violations. </w:t>
            </w:r>
          </w:p>
          <w:p w14:paraId="632F6E98" w14:textId="77777777" w:rsidR="00C76B61" w:rsidRPr="009E515B" w:rsidRDefault="00C76B61" w:rsidP="00A86674">
            <w:pPr>
              <w:rPr>
                <w:rFonts w:ascii="Arial" w:hAnsi="Arial" w:cs="Arial"/>
                <w:sz w:val="24"/>
                <w:szCs w:val="24"/>
              </w:rPr>
            </w:pPr>
          </w:p>
          <w:p w14:paraId="736ADBA9" w14:textId="5F31004A" w:rsidR="00FB4CF0" w:rsidRPr="009E515B" w:rsidRDefault="00A86674" w:rsidP="00A86674">
            <w:pPr>
              <w:rPr>
                <w:rFonts w:ascii="Arial" w:hAnsi="Arial" w:cs="Arial"/>
                <w:sz w:val="24"/>
                <w:szCs w:val="24"/>
              </w:rPr>
            </w:pPr>
            <w:r w:rsidRPr="009E515B">
              <w:rPr>
                <w:rFonts w:ascii="Arial" w:hAnsi="Arial" w:cs="Arial"/>
                <w:sz w:val="24"/>
                <w:szCs w:val="24"/>
              </w:rPr>
              <w:t xml:space="preserve">UPA staff also respond to many types of emergencies. If UPA staff is diverted to an emergency, this process can be delayed. </w:t>
            </w:r>
            <w:r w:rsidR="00323887" w:rsidRPr="009E515B">
              <w:rPr>
                <w:rFonts w:ascii="Arial" w:hAnsi="Arial" w:cs="Arial"/>
                <w:sz w:val="24"/>
                <w:szCs w:val="24"/>
              </w:rPr>
              <w:t>In emergencies such as a flood, earthquake, or wildland fire, UPA staff may be diverted to assist with the emergency. If UPA staff are directed to an emergency as declared by a local government body or the Governor, the report may be delayed</w:t>
            </w:r>
            <w:r w:rsidR="00FD73A4" w:rsidRPr="009E515B">
              <w:rPr>
                <w:rFonts w:ascii="Arial" w:hAnsi="Arial" w:cs="Arial"/>
                <w:sz w:val="24"/>
                <w:szCs w:val="24"/>
              </w:rPr>
              <w:t xml:space="preserve"> until the</w:t>
            </w:r>
            <w:r w:rsidR="00291636" w:rsidRPr="009E515B">
              <w:rPr>
                <w:rFonts w:ascii="Arial" w:hAnsi="Arial" w:cs="Arial"/>
                <w:sz w:val="24"/>
                <w:szCs w:val="24"/>
              </w:rPr>
              <w:t xml:space="preserve"> incident has stabilized and the</w:t>
            </w:r>
            <w:r w:rsidR="00FD73A4" w:rsidRPr="009E515B">
              <w:rPr>
                <w:rFonts w:ascii="Arial" w:hAnsi="Arial" w:cs="Arial"/>
                <w:sz w:val="24"/>
                <w:szCs w:val="24"/>
              </w:rPr>
              <w:t xml:space="preserve"> UPA has returned to</w:t>
            </w:r>
            <w:r w:rsidR="002A4E77" w:rsidRPr="009E515B">
              <w:rPr>
                <w:rFonts w:ascii="Arial" w:hAnsi="Arial" w:cs="Arial"/>
                <w:sz w:val="24"/>
                <w:szCs w:val="24"/>
              </w:rPr>
              <w:t xml:space="preserve"> regular service</w:t>
            </w:r>
            <w:r w:rsidR="00FB4CF0" w:rsidRPr="009E515B">
              <w:rPr>
                <w:rFonts w:ascii="Arial" w:hAnsi="Arial" w:cs="Arial"/>
                <w:sz w:val="24"/>
                <w:szCs w:val="24"/>
              </w:rPr>
              <w:t xml:space="preserve">. </w:t>
            </w:r>
          </w:p>
          <w:p w14:paraId="14BA235E" w14:textId="24C7C283" w:rsidR="00A86674" w:rsidRPr="009E515B" w:rsidRDefault="00A86674" w:rsidP="00A86674">
            <w:pPr>
              <w:rPr>
                <w:rFonts w:ascii="Arial" w:hAnsi="Arial" w:cs="Arial"/>
                <w:b/>
                <w:bCs/>
                <w:sz w:val="24"/>
                <w:szCs w:val="24"/>
              </w:rPr>
            </w:pPr>
          </w:p>
        </w:tc>
      </w:tr>
      <w:tr w:rsidR="00A86674" w:rsidRPr="009E515B" w14:paraId="177948FD" w14:textId="6FF94BAA" w:rsidTr="00A86674">
        <w:trPr>
          <w:trHeight w:val="1610"/>
        </w:trPr>
        <w:tc>
          <w:tcPr>
            <w:tcW w:w="1440" w:type="dxa"/>
          </w:tcPr>
          <w:p w14:paraId="17E7E734" w14:textId="77777777" w:rsidR="00A86674" w:rsidRPr="009E515B" w:rsidRDefault="003F74CA" w:rsidP="00A86674">
            <w:pPr>
              <w:rPr>
                <w:rFonts w:ascii="Arial" w:eastAsia="Times New Roman" w:hAnsi="Arial" w:cs="Arial"/>
                <w:b/>
                <w:bCs/>
                <w:sz w:val="24"/>
                <w:szCs w:val="24"/>
              </w:rPr>
            </w:pPr>
            <w:hyperlink r:id="rId19" w:history="1">
              <w:r w:rsidR="00A86674" w:rsidRPr="009E515B">
                <w:rPr>
                  <w:rStyle w:val="Hyperlink"/>
                  <w:rFonts w:ascii="Arial" w:eastAsia="Times New Roman" w:hAnsi="Arial" w:cs="Arial"/>
                  <w:b/>
                  <w:bCs/>
                  <w:color w:val="auto"/>
                  <w:sz w:val="24"/>
                  <w:szCs w:val="24"/>
                  <w:bdr w:val="none" w:sz="0" w:space="0" w:color="auto" w:frame="1"/>
                </w:rPr>
                <w:t>25270.4.5.</w:t>
              </w:r>
            </w:hyperlink>
          </w:p>
          <w:p w14:paraId="369D6F83" w14:textId="77777777" w:rsidR="00A86674" w:rsidRPr="009E515B" w:rsidRDefault="00A86674" w:rsidP="00A86674">
            <w:pPr>
              <w:rPr>
                <w:rFonts w:ascii="Arial" w:hAnsi="Arial" w:cs="Arial"/>
                <w:sz w:val="24"/>
                <w:szCs w:val="24"/>
              </w:rPr>
            </w:pPr>
          </w:p>
        </w:tc>
        <w:tc>
          <w:tcPr>
            <w:tcW w:w="8640" w:type="dxa"/>
          </w:tcPr>
          <w:p w14:paraId="7A9BCCEE" w14:textId="5281A53C" w:rsidR="00A86674" w:rsidRPr="009E515B" w:rsidRDefault="00A86674" w:rsidP="00A86674">
            <w:pPr>
              <w:rPr>
                <w:rFonts w:ascii="Arial" w:hAnsi="Arial" w:cs="Arial"/>
                <w:b/>
                <w:bCs/>
                <w:sz w:val="24"/>
                <w:szCs w:val="24"/>
              </w:rPr>
            </w:pPr>
            <w:r w:rsidRPr="009E515B">
              <w:rPr>
                <w:rFonts w:ascii="Arial" w:hAnsi="Arial" w:cs="Arial"/>
                <w:b/>
                <w:bCs/>
                <w:sz w:val="24"/>
                <w:szCs w:val="24"/>
              </w:rPr>
              <w:t xml:space="preserve">Compliance with SPCC Plan requirements. </w:t>
            </w:r>
          </w:p>
          <w:p w14:paraId="7D43195B" w14:textId="5032E96B" w:rsidR="00A86674" w:rsidRPr="009E515B" w:rsidRDefault="00A86674" w:rsidP="00A86674">
            <w:pPr>
              <w:rPr>
                <w:rFonts w:ascii="Arial" w:hAnsi="Arial" w:cs="Arial"/>
                <w:sz w:val="24"/>
                <w:szCs w:val="24"/>
              </w:rPr>
            </w:pPr>
            <w:r w:rsidRPr="009E515B">
              <w:rPr>
                <w:rFonts w:ascii="Arial" w:hAnsi="Arial" w:cs="Arial"/>
                <w:sz w:val="24"/>
                <w:szCs w:val="24"/>
              </w:rPr>
              <w:t xml:space="preserve">(a)(1)-(8) </w:t>
            </w:r>
          </w:p>
          <w:p w14:paraId="00A77C02" w14:textId="51E5CF2B" w:rsidR="00A86674" w:rsidRPr="009E515B" w:rsidRDefault="00A86674" w:rsidP="00A86674">
            <w:pPr>
              <w:rPr>
                <w:rFonts w:ascii="Arial" w:hAnsi="Arial" w:cs="Arial"/>
                <w:sz w:val="24"/>
                <w:szCs w:val="24"/>
              </w:rPr>
            </w:pPr>
            <w:r w:rsidRPr="009E515B">
              <w:rPr>
                <w:rFonts w:ascii="Arial" w:hAnsi="Arial" w:cs="Arial"/>
                <w:sz w:val="24"/>
                <w:szCs w:val="24"/>
              </w:rPr>
              <w:t>These regulations are necessary for consistent implementation of APSA across the state. These subsections also make explicit the jurisdictional responsibilities of CUPAs and clarify specific enforcement responsibilities. This proposed regulation will assist in consistent implementation and enforcement of the APSA by the UPAs throughout the State of California and, in implementing this proposed regulation, the UPAs will ensure that minimum requirements are being met by each regulated tank facility for compliance with the APSA.</w:t>
            </w:r>
          </w:p>
          <w:p w14:paraId="2A0189DF" w14:textId="77777777" w:rsidR="00A86674" w:rsidRPr="009E515B" w:rsidRDefault="00A86674" w:rsidP="00A86674">
            <w:pPr>
              <w:rPr>
                <w:rFonts w:ascii="Arial" w:hAnsi="Arial" w:cs="Arial"/>
                <w:b/>
                <w:bCs/>
                <w:sz w:val="24"/>
                <w:szCs w:val="24"/>
              </w:rPr>
            </w:pPr>
          </w:p>
          <w:p w14:paraId="45C2846B" w14:textId="6C39A32B" w:rsidR="00A86674" w:rsidRPr="009E515B" w:rsidRDefault="00A86674" w:rsidP="00A86674">
            <w:pPr>
              <w:rPr>
                <w:rFonts w:ascii="Arial" w:hAnsi="Arial" w:cs="Arial"/>
                <w:sz w:val="24"/>
                <w:szCs w:val="24"/>
              </w:rPr>
            </w:pPr>
            <w:r w:rsidRPr="009E515B">
              <w:rPr>
                <w:rFonts w:ascii="Arial" w:hAnsi="Arial" w:cs="Arial"/>
                <w:sz w:val="24"/>
                <w:szCs w:val="24"/>
              </w:rPr>
              <w:t>(a)(3), Additional detail. Code of Federal Regulations, Title 40, Part 112 includes detailed requirements as to what types of SPCC Plan is required to be certified by a professional engineer. There are no state amendments to these criteria.</w:t>
            </w:r>
          </w:p>
          <w:p w14:paraId="7596033F" w14:textId="77777777" w:rsidR="00A86674" w:rsidRPr="009E515B" w:rsidRDefault="00A86674" w:rsidP="00A86674">
            <w:pPr>
              <w:rPr>
                <w:rFonts w:ascii="Arial" w:hAnsi="Arial" w:cs="Arial"/>
                <w:sz w:val="24"/>
                <w:szCs w:val="24"/>
              </w:rPr>
            </w:pPr>
          </w:p>
          <w:p w14:paraId="16645309" w14:textId="4E99F722" w:rsidR="00A86674" w:rsidRPr="009E515B" w:rsidRDefault="00A86674" w:rsidP="00A86674">
            <w:pPr>
              <w:rPr>
                <w:rFonts w:ascii="Arial" w:hAnsi="Arial" w:cs="Arial"/>
                <w:sz w:val="24"/>
                <w:szCs w:val="24"/>
              </w:rPr>
            </w:pPr>
            <w:r w:rsidRPr="009E515B">
              <w:rPr>
                <w:rFonts w:ascii="Arial" w:hAnsi="Arial" w:cs="Arial"/>
                <w:sz w:val="24"/>
                <w:szCs w:val="24"/>
              </w:rPr>
              <w:t xml:space="preserve">(a)(4) and (a)(7) Additional detail. These requirements and timeline </w:t>
            </w:r>
            <w:proofErr w:type="gramStart"/>
            <w:r w:rsidRPr="009E515B">
              <w:rPr>
                <w:rFonts w:ascii="Arial" w:hAnsi="Arial" w:cs="Arial"/>
                <w:sz w:val="24"/>
                <w:szCs w:val="24"/>
              </w:rPr>
              <w:t>is</w:t>
            </w:r>
            <w:proofErr w:type="gramEnd"/>
            <w:r w:rsidRPr="009E515B">
              <w:rPr>
                <w:rFonts w:ascii="Arial" w:hAnsi="Arial" w:cs="Arial"/>
                <w:sz w:val="24"/>
                <w:szCs w:val="24"/>
              </w:rPr>
              <w:t xml:space="preserve"> established by the federal SPCC rule. The </w:t>
            </w:r>
            <w:proofErr w:type="gramStart"/>
            <w:r w:rsidRPr="009E515B">
              <w:rPr>
                <w:rFonts w:ascii="Arial" w:hAnsi="Arial" w:cs="Arial"/>
                <w:sz w:val="24"/>
                <w:szCs w:val="24"/>
              </w:rPr>
              <w:t>3 and 5 year</w:t>
            </w:r>
            <w:proofErr w:type="gramEnd"/>
            <w:r w:rsidRPr="009E515B">
              <w:rPr>
                <w:rFonts w:ascii="Arial" w:hAnsi="Arial" w:cs="Arial"/>
                <w:sz w:val="24"/>
                <w:szCs w:val="24"/>
              </w:rPr>
              <w:t xml:space="preserve"> timelines are consistent with timelines established in the federal SPCC rule. </w:t>
            </w:r>
          </w:p>
          <w:p w14:paraId="5102EA18" w14:textId="77777777" w:rsidR="00A86674" w:rsidRPr="009E515B" w:rsidRDefault="00A86674" w:rsidP="00A86674">
            <w:pPr>
              <w:rPr>
                <w:rFonts w:ascii="Arial" w:hAnsi="Arial" w:cs="Arial"/>
                <w:b/>
                <w:bCs/>
                <w:sz w:val="24"/>
                <w:szCs w:val="24"/>
              </w:rPr>
            </w:pPr>
          </w:p>
          <w:p w14:paraId="1405E0D4" w14:textId="77777777" w:rsidR="00A86674" w:rsidRPr="009E515B" w:rsidRDefault="00A86674" w:rsidP="00A86674">
            <w:pPr>
              <w:rPr>
                <w:rFonts w:ascii="Arial" w:hAnsi="Arial" w:cs="Arial"/>
                <w:sz w:val="24"/>
                <w:szCs w:val="24"/>
              </w:rPr>
            </w:pPr>
            <w:r w:rsidRPr="009E515B">
              <w:rPr>
                <w:rFonts w:ascii="Arial" w:hAnsi="Arial" w:cs="Arial"/>
                <w:sz w:val="24"/>
                <w:szCs w:val="24"/>
              </w:rPr>
              <w:t>(b)</w:t>
            </w:r>
            <w:r w:rsidRPr="009E515B">
              <w:rPr>
                <w:rFonts w:ascii="Arial" w:hAnsi="Arial" w:cs="Arial"/>
                <w:b/>
                <w:bCs/>
                <w:sz w:val="24"/>
                <w:szCs w:val="24"/>
              </w:rPr>
              <w:t xml:space="preserve"> </w:t>
            </w:r>
            <w:r w:rsidRPr="009E515B">
              <w:rPr>
                <w:rFonts w:ascii="Arial" w:hAnsi="Arial" w:cs="Arial"/>
                <w:sz w:val="24"/>
                <w:szCs w:val="24"/>
              </w:rPr>
              <w:t xml:space="preserve">Tank facilities that meet the exemption conditions 25270.4.5 are not required to prepare and implement an SPCC plan under APSA. Therefore, while these facilities maintain the requirements for conditional status, the requirements for compliance with SPCC Plan requirements do not apply. </w:t>
            </w:r>
          </w:p>
          <w:p w14:paraId="63578FEC" w14:textId="77777777" w:rsidR="00B72E02" w:rsidRPr="009E515B" w:rsidRDefault="00B72E02" w:rsidP="00A86674">
            <w:pPr>
              <w:rPr>
                <w:rFonts w:ascii="Arial" w:hAnsi="Arial" w:cs="Arial"/>
                <w:sz w:val="24"/>
                <w:szCs w:val="24"/>
              </w:rPr>
            </w:pPr>
          </w:p>
          <w:p w14:paraId="0126E69C" w14:textId="77777777" w:rsidR="00B72E02" w:rsidRPr="009E515B" w:rsidRDefault="00B72E02" w:rsidP="00A86674">
            <w:pPr>
              <w:rPr>
                <w:rFonts w:ascii="Arial" w:hAnsi="Arial" w:cs="Arial"/>
                <w:sz w:val="24"/>
                <w:szCs w:val="24"/>
              </w:rPr>
            </w:pPr>
          </w:p>
          <w:p w14:paraId="01A81703" w14:textId="77777777" w:rsidR="00B72E02" w:rsidRPr="009E515B" w:rsidRDefault="00B72E02" w:rsidP="00B72E02">
            <w:pPr>
              <w:rPr>
                <w:rFonts w:ascii="Arial" w:hAnsi="Arial" w:cs="Arial"/>
                <w:b/>
                <w:bCs/>
                <w:sz w:val="24"/>
                <w:szCs w:val="24"/>
              </w:rPr>
            </w:pPr>
            <w:r w:rsidRPr="009E515B">
              <w:rPr>
                <w:rFonts w:ascii="Arial" w:hAnsi="Arial" w:cs="Arial"/>
                <w:b/>
                <w:bCs/>
                <w:sz w:val="24"/>
                <w:szCs w:val="24"/>
              </w:rPr>
              <w:t xml:space="preserve">Not new. </w:t>
            </w:r>
          </w:p>
          <w:p w14:paraId="288775BB" w14:textId="77777777" w:rsidR="00B72E02" w:rsidRPr="009E515B" w:rsidRDefault="00B72E02" w:rsidP="00B72E02">
            <w:pPr>
              <w:rPr>
                <w:rFonts w:ascii="Arial" w:hAnsi="Arial" w:cs="Arial"/>
                <w:b/>
                <w:bCs/>
                <w:sz w:val="24"/>
                <w:szCs w:val="24"/>
              </w:rPr>
            </w:pPr>
          </w:p>
          <w:p w14:paraId="239B0580" w14:textId="0C3F1565" w:rsidR="00B72E02" w:rsidRPr="009E515B" w:rsidRDefault="00B72E02" w:rsidP="00B72E02">
            <w:pPr>
              <w:rPr>
                <w:rFonts w:ascii="Arial" w:hAnsi="Arial" w:cs="Arial"/>
                <w:b/>
                <w:bCs/>
                <w:sz w:val="24"/>
                <w:szCs w:val="24"/>
              </w:rPr>
            </w:pPr>
            <w:r w:rsidRPr="009E515B">
              <w:rPr>
                <w:rFonts w:ascii="Arial" w:hAnsi="Arial" w:cs="Arial"/>
                <w:b/>
                <w:bCs/>
                <w:sz w:val="24"/>
                <w:szCs w:val="24"/>
              </w:rPr>
              <w:t>(b)Providing records is also not new, EPA already requires this.</w:t>
            </w:r>
          </w:p>
          <w:p w14:paraId="0D2EC7A9" w14:textId="77777777" w:rsidR="00B72E02" w:rsidRPr="009E515B" w:rsidRDefault="00B72E02" w:rsidP="00B72E02">
            <w:pPr>
              <w:rPr>
                <w:rFonts w:ascii="Arial" w:hAnsi="Arial" w:cs="Arial"/>
                <w:b/>
                <w:bCs/>
                <w:sz w:val="24"/>
                <w:szCs w:val="24"/>
              </w:rPr>
            </w:pPr>
          </w:p>
          <w:p w14:paraId="1F9E9636" w14:textId="56AE4ECC" w:rsidR="00B72E02" w:rsidRPr="009E515B" w:rsidRDefault="00B72E02" w:rsidP="00B72E02">
            <w:pPr>
              <w:rPr>
                <w:rFonts w:ascii="Arial" w:hAnsi="Arial" w:cs="Arial"/>
                <w:b/>
                <w:bCs/>
                <w:sz w:val="24"/>
                <w:szCs w:val="24"/>
              </w:rPr>
            </w:pPr>
            <w:r w:rsidRPr="009E515B">
              <w:rPr>
                <w:rFonts w:ascii="Arial" w:hAnsi="Arial" w:cs="Arial"/>
                <w:b/>
                <w:bCs/>
                <w:sz w:val="24"/>
                <w:szCs w:val="24"/>
              </w:rPr>
              <w:t>(</w:t>
            </w:r>
            <w:proofErr w:type="gramStart"/>
            <w:r w:rsidRPr="009E515B">
              <w:rPr>
                <w:rFonts w:ascii="Arial" w:hAnsi="Arial" w:cs="Arial"/>
                <w:b/>
                <w:bCs/>
                <w:sz w:val="24"/>
                <w:szCs w:val="24"/>
              </w:rPr>
              <w:t>c )</w:t>
            </w:r>
            <w:proofErr w:type="gramEnd"/>
            <w:r w:rsidRPr="009E515B">
              <w:rPr>
                <w:rFonts w:ascii="Arial" w:hAnsi="Arial" w:cs="Arial"/>
                <w:b/>
                <w:bCs/>
                <w:sz w:val="24"/>
                <w:szCs w:val="24"/>
              </w:rPr>
              <w:t xml:space="preserve"> not new. Part of regular cost of doing business.   </w:t>
            </w:r>
          </w:p>
        </w:tc>
      </w:tr>
      <w:tr w:rsidR="00A86674" w:rsidRPr="009E515B" w14:paraId="2B03C51D" w14:textId="487C3285" w:rsidTr="00A86674">
        <w:trPr>
          <w:trHeight w:val="70"/>
        </w:trPr>
        <w:tc>
          <w:tcPr>
            <w:tcW w:w="1440" w:type="dxa"/>
          </w:tcPr>
          <w:p w14:paraId="600E2328" w14:textId="77777777" w:rsidR="00A86674" w:rsidRPr="009E515B" w:rsidRDefault="00A86674" w:rsidP="00A86674">
            <w:pPr>
              <w:rPr>
                <w:rFonts w:ascii="Arial" w:hAnsi="Arial" w:cs="Arial"/>
                <w:sz w:val="24"/>
                <w:szCs w:val="24"/>
              </w:rPr>
            </w:pPr>
          </w:p>
        </w:tc>
        <w:tc>
          <w:tcPr>
            <w:tcW w:w="8640" w:type="dxa"/>
          </w:tcPr>
          <w:p w14:paraId="66782ED6" w14:textId="77777777" w:rsidR="00A86674" w:rsidRPr="009E515B" w:rsidRDefault="00A86674" w:rsidP="00A86674">
            <w:pPr>
              <w:rPr>
                <w:rFonts w:ascii="Arial" w:hAnsi="Arial" w:cs="Arial"/>
                <w:b/>
                <w:bCs/>
                <w:sz w:val="24"/>
                <w:szCs w:val="24"/>
              </w:rPr>
            </w:pPr>
          </w:p>
        </w:tc>
      </w:tr>
      <w:tr w:rsidR="00A86674" w:rsidRPr="009E515B" w14:paraId="5F49393B" w14:textId="3C29F96D" w:rsidTr="00A86674">
        <w:trPr>
          <w:trHeight w:val="70"/>
        </w:trPr>
        <w:tc>
          <w:tcPr>
            <w:tcW w:w="1440" w:type="dxa"/>
          </w:tcPr>
          <w:p w14:paraId="42A7EBB0" w14:textId="77777777" w:rsidR="00A86674" w:rsidRPr="009E515B" w:rsidRDefault="003F74CA" w:rsidP="00A86674">
            <w:pPr>
              <w:rPr>
                <w:rFonts w:ascii="Arial" w:eastAsia="Times New Roman" w:hAnsi="Arial" w:cs="Arial"/>
                <w:b/>
                <w:bCs/>
                <w:sz w:val="24"/>
                <w:szCs w:val="24"/>
              </w:rPr>
            </w:pPr>
            <w:hyperlink r:id="rId20" w:history="1">
              <w:r w:rsidR="00A86674" w:rsidRPr="009E515B">
                <w:rPr>
                  <w:rStyle w:val="Hyperlink"/>
                  <w:rFonts w:ascii="Arial" w:eastAsia="Times New Roman" w:hAnsi="Arial" w:cs="Arial"/>
                  <w:b/>
                  <w:bCs/>
                  <w:color w:val="auto"/>
                  <w:sz w:val="24"/>
                  <w:szCs w:val="24"/>
                  <w:bdr w:val="none" w:sz="0" w:space="0" w:color="auto" w:frame="1"/>
                </w:rPr>
                <w:t>25270.4.5.</w:t>
              </w:r>
            </w:hyperlink>
          </w:p>
          <w:p w14:paraId="4B6C9E19" w14:textId="77777777" w:rsidR="00A86674" w:rsidRPr="009E515B" w:rsidRDefault="00A86674" w:rsidP="00A86674">
            <w:pPr>
              <w:rPr>
                <w:rFonts w:ascii="Arial" w:hAnsi="Arial" w:cs="Arial"/>
                <w:sz w:val="24"/>
                <w:szCs w:val="24"/>
              </w:rPr>
            </w:pPr>
          </w:p>
        </w:tc>
        <w:tc>
          <w:tcPr>
            <w:tcW w:w="8640" w:type="dxa"/>
          </w:tcPr>
          <w:p w14:paraId="6EF0DB14" w14:textId="50DCAEF5" w:rsidR="00A86674" w:rsidRPr="009E515B" w:rsidRDefault="00A86674" w:rsidP="00A86674">
            <w:pPr>
              <w:rPr>
                <w:rFonts w:ascii="Arial" w:hAnsi="Arial" w:cs="Arial"/>
                <w:b/>
                <w:bCs/>
                <w:sz w:val="24"/>
                <w:szCs w:val="24"/>
              </w:rPr>
            </w:pPr>
            <w:r w:rsidRPr="009E515B">
              <w:rPr>
                <w:rFonts w:ascii="Arial" w:hAnsi="Arial" w:cs="Arial"/>
                <w:b/>
                <w:bCs/>
                <w:sz w:val="24"/>
                <w:szCs w:val="24"/>
              </w:rPr>
              <w:t>Instructions During Inspections</w:t>
            </w:r>
          </w:p>
          <w:p w14:paraId="7F11BADB" w14:textId="77777777" w:rsidR="00A86674" w:rsidRPr="009E515B" w:rsidRDefault="00A86674" w:rsidP="00F46856">
            <w:pPr>
              <w:rPr>
                <w:rFonts w:ascii="Arial" w:hAnsi="Arial" w:cs="Arial"/>
                <w:sz w:val="24"/>
                <w:szCs w:val="24"/>
              </w:rPr>
            </w:pPr>
            <w:r w:rsidRPr="009E515B">
              <w:rPr>
                <w:rFonts w:ascii="Arial" w:hAnsi="Arial" w:cs="Arial"/>
                <w:sz w:val="24"/>
                <w:szCs w:val="24"/>
              </w:rPr>
              <w:t xml:space="preserve">(a) This regulation is consistent with federal regulations. It is included here for clarity. </w:t>
            </w:r>
          </w:p>
          <w:p w14:paraId="4E547849" w14:textId="08D56F0B" w:rsidR="00F46856" w:rsidRPr="009E515B" w:rsidRDefault="00F46856" w:rsidP="00F46856">
            <w:pPr>
              <w:rPr>
                <w:rFonts w:ascii="Arial" w:hAnsi="Arial" w:cs="Arial"/>
                <w:sz w:val="24"/>
                <w:szCs w:val="24"/>
              </w:rPr>
            </w:pPr>
          </w:p>
        </w:tc>
      </w:tr>
      <w:tr w:rsidR="00A86674" w:rsidRPr="009E515B" w14:paraId="32C0056A" w14:textId="4C751799" w:rsidTr="00A86674">
        <w:trPr>
          <w:trHeight w:val="70"/>
        </w:trPr>
        <w:tc>
          <w:tcPr>
            <w:tcW w:w="1440" w:type="dxa"/>
          </w:tcPr>
          <w:p w14:paraId="61615C0A" w14:textId="77777777" w:rsidR="00A86674" w:rsidRPr="008B7FC3" w:rsidRDefault="003F74CA" w:rsidP="00A86674">
            <w:pPr>
              <w:rPr>
                <w:rFonts w:ascii="Arial" w:eastAsia="Times New Roman" w:hAnsi="Arial" w:cs="Arial"/>
                <w:b/>
                <w:bCs/>
                <w:sz w:val="24"/>
                <w:szCs w:val="24"/>
              </w:rPr>
            </w:pPr>
            <w:hyperlink r:id="rId21" w:history="1">
              <w:r w:rsidR="00A86674" w:rsidRPr="008B7FC3">
                <w:rPr>
                  <w:rStyle w:val="Hyperlink"/>
                  <w:rFonts w:ascii="Arial" w:eastAsia="Times New Roman" w:hAnsi="Arial" w:cs="Arial"/>
                  <w:b/>
                  <w:bCs/>
                  <w:color w:val="auto"/>
                  <w:sz w:val="24"/>
                  <w:szCs w:val="24"/>
                  <w:bdr w:val="none" w:sz="0" w:space="0" w:color="auto" w:frame="1"/>
                </w:rPr>
                <w:t>25270.4.5.</w:t>
              </w:r>
            </w:hyperlink>
          </w:p>
          <w:p w14:paraId="1725769C" w14:textId="77777777" w:rsidR="00A86674" w:rsidRPr="009E515B" w:rsidRDefault="00A86674" w:rsidP="00A86674">
            <w:pPr>
              <w:rPr>
                <w:rFonts w:ascii="Arial" w:hAnsi="Arial" w:cs="Arial"/>
                <w:sz w:val="24"/>
                <w:szCs w:val="24"/>
                <w:highlight w:val="red"/>
              </w:rPr>
            </w:pPr>
          </w:p>
        </w:tc>
        <w:tc>
          <w:tcPr>
            <w:tcW w:w="8640" w:type="dxa"/>
          </w:tcPr>
          <w:p w14:paraId="028B7564" w14:textId="77777777" w:rsidR="00A86674" w:rsidRPr="009E515B" w:rsidRDefault="00A86674" w:rsidP="00A86674">
            <w:pPr>
              <w:rPr>
                <w:rFonts w:ascii="Arial" w:hAnsi="Arial" w:cs="Arial"/>
                <w:b/>
                <w:bCs/>
                <w:sz w:val="24"/>
                <w:szCs w:val="24"/>
              </w:rPr>
            </w:pPr>
            <w:r w:rsidRPr="009E515B">
              <w:rPr>
                <w:rFonts w:ascii="Arial" w:hAnsi="Arial" w:cs="Arial"/>
                <w:b/>
                <w:bCs/>
                <w:sz w:val="24"/>
                <w:szCs w:val="24"/>
              </w:rPr>
              <w:t>Instructions During Inspections</w:t>
            </w:r>
          </w:p>
          <w:p w14:paraId="6720B808" w14:textId="3F65EDC9" w:rsidR="00A86674" w:rsidRPr="009E515B" w:rsidRDefault="00A86674" w:rsidP="00A86674">
            <w:pPr>
              <w:rPr>
                <w:rFonts w:ascii="Arial" w:hAnsi="Arial" w:cs="Arial"/>
                <w:sz w:val="24"/>
                <w:szCs w:val="24"/>
              </w:rPr>
            </w:pPr>
            <w:r w:rsidRPr="009E515B">
              <w:rPr>
                <w:rFonts w:ascii="Arial" w:hAnsi="Arial" w:cs="Arial"/>
                <w:sz w:val="24"/>
                <w:szCs w:val="24"/>
              </w:rPr>
              <w:t xml:space="preserve">(b) Remote record review </w:t>
            </w:r>
            <w:r w:rsidR="00503F43" w:rsidRPr="009E515B">
              <w:rPr>
                <w:rFonts w:ascii="Arial" w:hAnsi="Arial" w:cs="Arial"/>
                <w:sz w:val="24"/>
                <w:szCs w:val="24"/>
              </w:rPr>
              <w:t>commonly occurred</w:t>
            </w:r>
            <w:r w:rsidRPr="009E515B">
              <w:rPr>
                <w:rFonts w:ascii="Arial" w:hAnsi="Arial" w:cs="Arial"/>
                <w:sz w:val="24"/>
                <w:szCs w:val="24"/>
              </w:rPr>
              <w:t xml:space="preserve"> during </w:t>
            </w:r>
            <w:proofErr w:type="gramStart"/>
            <w:r w:rsidRPr="009E515B">
              <w:rPr>
                <w:rFonts w:ascii="Arial" w:hAnsi="Arial" w:cs="Arial"/>
                <w:sz w:val="24"/>
                <w:szCs w:val="24"/>
              </w:rPr>
              <w:t>stay at home</w:t>
            </w:r>
            <w:proofErr w:type="gramEnd"/>
            <w:r w:rsidRPr="009E515B">
              <w:rPr>
                <w:rFonts w:ascii="Arial" w:hAnsi="Arial" w:cs="Arial"/>
                <w:sz w:val="24"/>
                <w:szCs w:val="24"/>
              </w:rPr>
              <w:t xml:space="preserve"> conditions. The review of records and interviews with staff can be performed remotely while maintaining safety standards. </w:t>
            </w:r>
          </w:p>
          <w:p w14:paraId="647D372B" w14:textId="663A56CC" w:rsidR="00F46856" w:rsidRPr="009E515B" w:rsidRDefault="00F46856" w:rsidP="00A86674">
            <w:pPr>
              <w:rPr>
                <w:rFonts w:ascii="Arial" w:hAnsi="Arial" w:cs="Arial"/>
                <w:sz w:val="24"/>
                <w:szCs w:val="24"/>
              </w:rPr>
            </w:pPr>
          </w:p>
        </w:tc>
      </w:tr>
      <w:tr w:rsidR="00A86674" w:rsidRPr="009E515B" w14:paraId="54357822" w14:textId="6A091579" w:rsidTr="00A86674">
        <w:trPr>
          <w:trHeight w:val="70"/>
        </w:trPr>
        <w:tc>
          <w:tcPr>
            <w:tcW w:w="1440" w:type="dxa"/>
          </w:tcPr>
          <w:p w14:paraId="0D73649B" w14:textId="77777777" w:rsidR="00A86674" w:rsidRPr="009E515B" w:rsidRDefault="003F74CA" w:rsidP="00A86674">
            <w:pPr>
              <w:rPr>
                <w:rFonts w:ascii="Arial" w:eastAsia="Times New Roman" w:hAnsi="Arial" w:cs="Arial"/>
                <w:b/>
                <w:bCs/>
                <w:sz w:val="24"/>
                <w:szCs w:val="24"/>
              </w:rPr>
            </w:pPr>
            <w:hyperlink r:id="rId22" w:history="1">
              <w:r w:rsidR="00A86674" w:rsidRPr="009E515B">
                <w:rPr>
                  <w:rStyle w:val="Hyperlink"/>
                  <w:rFonts w:ascii="Arial" w:eastAsia="Times New Roman" w:hAnsi="Arial" w:cs="Arial"/>
                  <w:b/>
                  <w:bCs/>
                  <w:color w:val="auto"/>
                  <w:sz w:val="24"/>
                  <w:szCs w:val="24"/>
                  <w:bdr w:val="none" w:sz="0" w:space="0" w:color="auto" w:frame="1"/>
                </w:rPr>
                <w:t>25270.4.5.</w:t>
              </w:r>
            </w:hyperlink>
          </w:p>
          <w:p w14:paraId="164F3D73" w14:textId="77777777" w:rsidR="00A86674" w:rsidRPr="009E515B" w:rsidRDefault="00A86674" w:rsidP="00A86674">
            <w:pPr>
              <w:rPr>
                <w:rFonts w:ascii="Arial" w:hAnsi="Arial" w:cs="Arial"/>
                <w:sz w:val="24"/>
                <w:szCs w:val="24"/>
                <w:highlight w:val="red"/>
              </w:rPr>
            </w:pPr>
          </w:p>
        </w:tc>
        <w:tc>
          <w:tcPr>
            <w:tcW w:w="8640" w:type="dxa"/>
          </w:tcPr>
          <w:p w14:paraId="0B27EFCE" w14:textId="77777777" w:rsidR="00A86674" w:rsidRPr="009E515B" w:rsidRDefault="00A86674" w:rsidP="00A86674">
            <w:pPr>
              <w:rPr>
                <w:rFonts w:ascii="Arial" w:hAnsi="Arial" w:cs="Arial"/>
                <w:b/>
                <w:bCs/>
                <w:sz w:val="24"/>
                <w:szCs w:val="24"/>
              </w:rPr>
            </w:pPr>
            <w:r w:rsidRPr="009E515B">
              <w:rPr>
                <w:rFonts w:ascii="Arial" w:hAnsi="Arial" w:cs="Arial"/>
                <w:b/>
                <w:bCs/>
                <w:sz w:val="24"/>
                <w:szCs w:val="24"/>
              </w:rPr>
              <w:t>Instructions During Inspections</w:t>
            </w:r>
          </w:p>
          <w:p w14:paraId="189EE5F6" w14:textId="35B519B4" w:rsidR="00A86674" w:rsidRPr="009E515B" w:rsidRDefault="00A86674" w:rsidP="00A86674">
            <w:pPr>
              <w:rPr>
                <w:rFonts w:ascii="Arial" w:hAnsi="Arial" w:cs="Arial"/>
                <w:sz w:val="24"/>
                <w:szCs w:val="24"/>
              </w:rPr>
            </w:pPr>
            <w:r w:rsidRPr="009E515B">
              <w:rPr>
                <w:rFonts w:ascii="Arial" w:hAnsi="Arial" w:cs="Arial"/>
                <w:sz w:val="24"/>
                <w:szCs w:val="24"/>
              </w:rPr>
              <w:t>(</w:t>
            </w:r>
            <w:proofErr w:type="gramStart"/>
            <w:r w:rsidRPr="009E515B">
              <w:rPr>
                <w:rFonts w:ascii="Arial" w:hAnsi="Arial" w:cs="Arial"/>
                <w:sz w:val="24"/>
                <w:szCs w:val="24"/>
              </w:rPr>
              <w:t>c )</w:t>
            </w:r>
            <w:proofErr w:type="gramEnd"/>
            <w:r w:rsidRPr="009E515B">
              <w:rPr>
                <w:rFonts w:ascii="Arial" w:hAnsi="Arial" w:cs="Arial"/>
                <w:sz w:val="24"/>
                <w:szCs w:val="24"/>
              </w:rPr>
              <w:t xml:space="preserve"> While record review and interviews can be performed offsite, the physical conditions of a facility can only be </w:t>
            </w:r>
            <w:r w:rsidR="001808D3" w:rsidRPr="009E515B">
              <w:rPr>
                <w:rFonts w:ascii="Arial" w:hAnsi="Arial" w:cs="Arial"/>
                <w:sz w:val="24"/>
                <w:szCs w:val="24"/>
              </w:rPr>
              <w:t xml:space="preserve">effectively evaluated </w:t>
            </w:r>
            <w:r w:rsidRPr="009E515B">
              <w:rPr>
                <w:rFonts w:ascii="Arial" w:hAnsi="Arial" w:cs="Arial"/>
                <w:sz w:val="24"/>
                <w:szCs w:val="24"/>
              </w:rPr>
              <w:t xml:space="preserve">in person. Conditions such as housekeeping, releases, spills, </w:t>
            </w:r>
            <w:r w:rsidR="008E5DE4" w:rsidRPr="009E515B">
              <w:rPr>
                <w:rFonts w:ascii="Arial" w:hAnsi="Arial" w:cs="Arial"/>
                <w:sz w:val="24"/>
                <w:szCs w:val="24"/>
              </w:rPr>
              <w:t xml:space="preserve">the </w:t>
            </w:r>
            <w:r w:rsidRPr="009E515B">
              <w:rPr>
                <w:rFonts w:ascii="Arial" w:hAnsi="Arial" w:cs="Arial"/>
                <w:sz w:val="24"/>
                <w:szCs w:val="24"/>
              </w:rPr>
              <w:t>condition of the tanks</w:t>
            </w:r>
            <w:r w:rsidR="008E5DE4" w:rsidRPr="009E515B">
              <w:rPr>
                <w:rFonts w:ascii="Arial" w:hAnsi="Arial" w:cs="Arial"/>
                <w:sz w:val="24"/>
                <w:szCs w:val="24"/>
              </w:rPr>
              <w:t>, piping, and appurtenances,</w:t>
            </w:r>
            <w:r w:rsidRPr="009E515B">
              <w:rPr>
                <w:rFonts w:ascii="Arial" w:hAnsi="Arial" w:cs="Arial"/>
                <w:sz w:val="24"/>
                <w:szCs w:val="24"/>
              </w:rPr>
              <w:t xml:space="preserve"> </w:t>
            </w:r>
            <w:r w:rsidR="008E5DE4" w:rsidRPr="009E515B">
              <w:rPr>
                <w:rFonts w:ascii="Arial" w:hAnsi="Arial" w:cs="Arial"/>
                <w:sz w:val="24"/>
                <w:szCs w:val="24"/>
              </w:rPr>
              <w:t xml:space="preserve">should </w:t>
            </w:r>
            <w:r w:rsidRPr="009E515B">
              <w:rPr>
                <w:rFonts w:ascii="Arial" w:hAnsi="Arial" w:cs="Arial"/>
                <w:sz w:val="24"/>
                <w:szCs w:val="24"/>
              </w:rPr>
              <w:t xml:space="preserve">only be </w:t>
            </w:r>
            <w:r w:rsidR="008E5DE4" w:rsidRPr="009E515B">
              <w:rPr>
                <w:rFonts w:ascii="Arial" w:hAnsi="Arial" w:cs="Arial"/>
                <w:sz w:val="24"/>
                <w:szCs w:val="24"/>
              </w:rPr>
              <w:t>assessed</w:t>
            </w:r>
            <w:r w:rsidR="001808D3" w:rsidRPr="009E515B">
              <w:rPr>
                <w:rFonts w:ascii="Arial" w:hAnsi="Arial" w:cs="Arial"/>
                <w:sz w:val="24"/>
                <w:szCs w:val="24"/>
              </w:rPr>
              <w:t xml:space="preserve"> </w:t>
            </w:r>
            <w:r w:rsidRPr="009E515B">
              <w:rPr>
                <w:rFonts w:ascii="Arial" w:hAnsi="Arial" w:cs="Arial"/>
                <w:sz w:val="24"/>
                <w:szCs w:val="24"/>
              </w:rPr>
              <w:t xml:space="preserve">in person. </w:t>
            </w:r>
            <w:r w:rsidR="000A64F3" w:rsidRPr="009E515B">
              <w:rPr>
                <w:rFonts w:ascii="Arial" w:hAnsi="Arial" w:cs="Arial"/>
                <w:sz w:val="24"/>
                <w:szCs w:val="24"/>
              </w:rPr>
              <w:t xml:space="preserve">The OSFM has </w:t>
            </w:r>
            <w:r w:rsidR="000A64F3" w:rsidRPr="009E515B">
              <w:rPr>
                <w:rFonts w:ascii="Arial" w:hAnsi="Arial" w:cs="Arial"/>
                <w:sz w:val="24"/>
                <w:szCs w:val="24"/>
              </w:rPr>
              <w:lastRenderedPageBreak/>
              <w:t xml:space="preserve">determined that video </w:t>
            </w:r>
            <w:r w:rsidRPr="009E515B">
              <w:rPr>
                <w:rFonts w:ascii="Arial" w:hAnsi="Arial" w:cs="Arial"/>
                <w:sz w:val="24"/>
                <w:szCs w:val="24"/>
              </w:rPr>
              <w:t xml:space="preserve">or other types of virtual inspections do not provide sufficient detail </w:t>
            </w:r>
            <w:r w:rsidR="008E5DE4" w:rsidRPr="009E515B">
              <w:rPr>
                <w:rFonts w:ascii="Arial" w:hAnsi="Arial" w:cs="Arial"/>
                <w:sz w:val="24"/>
                <w:szCs w:val="24"/>
              </w:rPr>
              <w:t xml:space="preserve">to ensure </w:t>
            </w:r>
            <w:r w:rsidRPr="009E515B">
              <w:rPr>
                <w:rFonts w:ascii="Arial" w:hAnsi="Arial" w:cs="Arial"/>
                <w:sz w:val="24"/>
                <w:szCs w:val="24"/>
              </w:rPr>
              <w:t xml:space="preserve">public safety. The Advisory Committee and other stakeholders concur with this conclusion. </w:t>
            </w:r>
          </w:p>
          <w:p w14:paraId="58F07B62" w14:textId="77777777" w:rsidR="00FB4CF0" w:rsidRPr="009E515B" w:rsidRDefault="00FB4CF0" w:rsidP="00A86674">
            <w:pPr>
              <w:rPr>
                <w:rFonts w:ascii="Arial" w:hAnsi="Arial" w:cs="Arial"/>
                <w:sz w:val="24"/>
                <w:szCs w:val="24"/>
              </w:rPr>
            </w:pPr>
          </w:p>
          <w:p w14:paraId="01B0B329" w14:textId="77777777" w:rsidR="00FB4CF0" w:rsidRPr="009E515B" w:rsidRDefault="00FB4CF0" w:rsidP="00A86674">
            <w:pPr>
              <w:rPr>
                <w:rFonts w:ascii="Arial" w:hAnsi="Arial" w:cs="Arial"/>
                <w:sz w:val="24"/>
                <w:szCs w:val="24"/>
              </w:rPr>
            </w:pPr>
          </w:p>
          <w:p w14:paraId="4D494E01" w14:textId="0058C1D6" w:rsidR="00FB4CF0" w:rsidRPr="009E515B" w:rsidRDefault="00FB4CF0" w:rsidP="00A86674">
            <w:pPr>
              <w:rPr>
                <w:rFonts w:ascii="Arial" w:hAnsi="Arial" w:cs="Arial"/>
                <w:sz w:val="24"/>
                <w:szCs w:val="24"/>
              </w:rPr>
            </w:pPr>
            <w:r w:rsidRPr="009E515B">
              <w:rPr>
                <w:rFonts w:ascii="Arial" w:hAnsi="Arial" w:cs="Arial"/>
                <w:sz w:val="24"/>
                <w:szCs w:val="24"/>
              </w:rPr>
              <w:t xml:space="preserve">(g) not new, putting a timeline. Timeline is reasonable for public safety purpose. </w:t>
            </w:r>
            <w:proofErr w:type="gramStart"/>
            <w:r w:rsidRPr="009E515B">
              <w:rPr>
                <w:rFonts w:ascii="Arial" w:hAnsi="Arial" w:cs="Arial"/>
                <w:sz w:val="24"/>
                <w:szCs w:val="24"/>
              </w:rPr>
              <w:t>30 day</w:t>
            </w:r>
            <w:proofErr w:type="gramEnd"/>
            <w:r w:rsidRPr="009E515B">
              <w:rPr>
                <w:rFonts w:ascii="Arial" w:hAnsi="Arial" w:cs="Arial"/>
                <w:sz w:val="24"/>
                <w:szCs w:val="24"/>
              </w:rPr>
              <w:t xml:space="preserve"> timeline is in alignment with requirements to correct minor violations.</w:t>
            </w:r>
          </w:p>
          <w:p w14:paraId="3638F451" w14:textId="48D46E79" w:rsidR="00A86674" w:rsidRPr="009E515B" w:rsidRDefault="00A86674" w:rsidP="00A86674">
            <w:pPr>
              <w:rPr>
                <w:rFonts w:ascii="Arial" w:hAnsi="Arial" w:cs="Arial"/>
                <w:b/>
                <w:bCs/>
                <w:sz w:val="24"/>
                <w:szCs w:val="24"/>
              </w:rPr>
            </w:pPr>
          </w:p>
        </w:tc>
      </w:tr>
      <w:tr w:rsidR="00A86674" w:rsidRPr="009E515B" w14:paraId="24A2F760" w14:textId="320E703A" w:rsidTr="00A86674">
        <w:trPr>
          <w:trHeight w:val="70"/>
        </w:trPr>
        <w:tc>
          <w:tcPr>
            <w:tcW w:w="1440" w:type="dxa"/>
          </w:tcPr>
          <w:p w14:paraId="5719C36E" w14:textId="77777777" w:rsidR="00A86674" w:rsidRPr="008B7FC3" w:rsidRDefault="003F74CA" w:rsidP="00A86674">
            <w:pPr>
              <w:rPr>
                <w:rFonts w:ascii="Arial" w:eastAsia="Times New Roman" w:hAnsi="Arial" w:cs="Arial"/>
                <w:b/>
                <w:bCs/>
                <w:sz w:val="24"/>
                <w:szCs w:val="24"/>
              </w:rPr>
            </w:pPr>
            <w:hyperlink r:id="rId23" w:history="1">
              <w:r w:rsidR="00A86674" w:rsidRPr="008B7FC3">
                <w:rPr>
                  <w:rStyle w:val="Hyperlink"/>
                  <w:rFonts w:ascii="Arial" w:eastAsia="Times New Roman" w:hAnsi="Arial" w:cs="Arial"/>
                  <w:b/>
                  <w:bCs/>
                  <w:color w:val="auto"/>
                  <w:sz w:val="24"/>
                  <w:szCs w:val="24"/>
                  <w:bdr w:val="none" w:sz="0" w:space="0" w:color="auto" w:frame="1"/>
                </w:rPr>
                <w:t>25270.4.5.</w:t>
              </w:r>
            </w:hyperlink>
          </w:p>
          <w:p w14:paraId="3951C228" w14:textId="77777777" w:rsidR="00A86674" w:rsidRPr="009E515B" w:rsidRDefault="00A86674" w:rsidP="00A86674">
            <w:pPr>
              <w:rPr>
                <w:rFonts w:ascii="Arial" w:hAnsi="Arial" w:cs="Arial"/>
                <w:sz w:val="24"/>
                <w:szCs w:val="24"/>
                <w:highlight w:val="red"/>
              </w:rPr>
            </w:pPr>
          </w:p>
        </w:tc>
        <w:tc>
          <w:tcPr>
            <w:tcW w:w="8640" w:type="dxa"/>
          </w:tcPr>
          <w:p w14:paraId="60BA425E" w14:textId="77777777" w:rsidR="00A86674" w:rsidRPr="009E515B" w:rsidRDefault="00A86674" w:rsidP="00A86674">
            <w:pPr>
              <w:rPr>
                <w:rFonts w:ascii="Arial" w:hAnsi="Arial" w:cs="Arial"/>
                <w:b/>
                <w:bCs/>
                <w:sz w:val="24"/>
                <w:szCs w:val="24"/>
              </w:rPr>
            </w:pPr>
            <w:r w:rsidRPr="009E515B">
              <w:rPr>
                <w:rFonts w:ascii="Arial" w:hAnsi="Arial" w:cs="Arial"/>
                <w:b/>
                <w:bCs/>
                <w:sz w:val="24"/>
                <w:szCs w:val="24"/>
              </w:rPr>
              <w:t>Instructions During Inspections</w:t>
            </w:r>
          </w:p>
          <w:p w14:paraId="1C061C82" w14:textId="3643471F" w:rsidR="00A86674" w:rsidRPr="009E515B" w:rsidRDefault="00A86674" w:rsidP="00A86674">
            <w:pPr>
              <w:rPr>
                <w:rFonts w:ascii="Arial" w:hAnsi="Arial" w:cs="Arial"/>
                <w:sz w:val="24"/>
                <w:szCs w:val="24"/>
              </w:rPr>
            </w:pPr>
            <w:r w:rsidRPr="009E515B">
              <w:rPr>
                <w:rFonts w:ascii="Arial" w:hAnsi="Arial" w:cs="Arial"/>
                <w:sz w:val="24"/>
                <w:szCs w:val="24"/>
              </w:rPr>
              <w:t xml:space="preserve">(d) Tank facilities that meet the exemption conditions </w:t>
            </w:r>
            <w:r w:rsidR="00D36CF3" w:rsidRPr="009E515B">
              <w:rPr>
                <w:rFonts w:ascii="Arial" w:hAnsi="Arial" w:cs="Arial"/>
                <w:sz w:val="24"/>
                <w:szCs w:val="24"/>
              </w:rPr>
              <w:t xml:space="preserve">in HSC Section </w:t>
            </w:r>
            <w:r w:rsidRPr="009E515B">
              <w:rPr>
                <w:rFonts w:ascii="Arial" w:hAnsi="Arial" w:cs="Arial"/>
                <w:sz w:val="24"/>
                <w:szCs w:val="24"/>
              </w:rPr>
              <w:t>25270.4.5 are not required to prepare and implement an SPCC plan under APSA. Therefore, while these facilities maintain the requirements for conditional status, the requirements for compliance with SPCC Plan requirements do not apply.</w:t>
            </w:r>
          </w:p>
        </w:tc>
      </w:tr>
      <w:tr w:rsidR="00A86674" w:rsidRPr="009E515B" w14:paraId="0EA474FF" w14:textId="6EA17ABE" w:rsidTr="00040685">
        <w:trPr>
          <w:trHeight w:val="3833"/>
        </w:trPr>
        <w:tc>
          <w:tcPr>
            <w:tcW w:w="1440" w:type="dxa"/>
          </w:tcPr>
          <w:p w14:paraId="016C020A" w14:textId="77777777" w:rsidR="00A86674" w:rsidRPr="009E515B" w:rsidRDefault="003F74CA" w:rsidP="00A86674">
            <w:pPr>
              <w:rPr>
                <w:rFonts w:ascii="Arial" w:eastAsia="Times New Roman" w:hAnsi="Arial" w:cs="Arial"/>
                <w:b/>
                <w:bCs/>
                <w:sz w:val="24"/>
                <w:szCs w:val="24"/>
              </w:rPr>
            </w:pPr>
            <w:hyperlink r:id="rId24" w:history="1">
              <w:r w:rsidR="00A86674" w:rsidRPr="009E515B">
                <w:rPr>
                  <w:rStyle w:val="Hyperlink"/>
                  <w:rFonts w:ascii="Arial" w:eastAsia="Times New Roman" w:hAnsi="Arial" w:cs="Arial"/>
                  <w:b/>
                  <w:bCs/>
                  <w:color w:val="auto"/>
                  <w:sz w:val="24"/>
                  <w:szCs w:val="24"/>
                  <w:bdr w:val="none" w:sz="0" w:space="0" w:color="auto" w:frame="1"/>
                </w:rPr>
                <w:t>25270.5.</w:t>
              </w:r>
            </w:hyperlink>
          </w:p>
          <w:p w14:paraId="2796F940" w14:textId="77777777" w:rsidR="00A86674" w:rsidRPr="009E515B" w:rsidRDefault="00A86674" w:rsidP="00A86674">
            <w:pPr>
              <w:rPr>
                <w:rFonts w:ascii="Arial" w:hAnsi="Arial" w:cs="Arial"/>
                <w:sz w:val="24"/>
                <w:szCs w:val="24"/>
              </w:rPr>
            </w:pPr>
          </w:p>
        </w:tc>
        <w:tc>
          <w:tcPr>
            <w:tcW w:w="8640" w:type="dxa"/>
          </w:tcPr>
          <w:p w14:paraId="19A2524D" w14:textId="1F724390" w:rsidR="00A86674" w:rsidRPr="009E515B" w:rsidRDefault="00A86674" w:rsidP="00A86674">
            <w:pPr>
              <w:rPr>
                <w:rFonts w:ascii="Arial" w:hAnsi="Arial" w:cs="Arial"/>
                <w:b/>
                <w:bCs/>
                <w:sz w:val="24"/>
                <w:szCs w:val="24"/>
              </w:rPr>
            </w:pPr>
            <w:r w:rsidRPr="009E515B">
              <w:rPr>
                <w:rFonts w:ascii="Arial" w:hAnsi="Arial" w:cs="Arial"/>
                <w:b/>
                <w:bCs/>
                <w:sz w:val="24"/>
                <w:szCs w:val="24"/>
              </w:rPr>
              <w:t xml:space="preserve">UPA Inspections – </w:t>
            </w:r>
            <w:r w:rsidR="00D36CF3" w:rsidRPr="009E515B">
              <w:rPr>
                <w:rFonts w:ascii="Arial" w:hAnsi="Arial" w:cs="Arial"/>
                <w:b/>
                <w:bCs/>
                <w:sz w:val="24"/>
                <w:szCs w:val="24"/>
              </w:rPr>
              <w:t>Facilities with less than 10,000</w:t>
            </w:r>
            <w:r w:rsidRPr="009E515B">
              <w:rPr>
                <w:rFonts w:ascii="Arial" w:hAnsi="Arial" w:cs="Arial"/>
                <w:b/>
                <w:bCs/>
                <w:sz w:val="24"/>
                <w:szCs w:val="24"/>
              </w:rPr>
              <w:t xml:space="preserve"> gallons that are required to prepare an SPCC Plan</w:t>
            </w:r>
          </w:p>
          <w:p w14:paraId="57BCAB4D" w14:textId="77777777" w:rsidR="00A86674" w:rsidRPr="009E515B" w:rsidRDefault="00A86674" w:rsidP="00A86674">
            <w:pPr>
              <w:rPr>
                <w:rFonts w:ascii="Arial" w:hAnsi="Arial" w:cs="Arial"/>
                <w:sz w:val="24"/>
                <w:szCs w:val="24"/>
              </w:rPr>
            </w:pPr>
          </w:p>
          <w:p w14:paraId="15880598" w14:textId="77777777" w:rsidR="006F32F8" w:rsidRPr="009E515B" w:rsidRDefault="00335EBF" w:rsidP="00A86674">
            <w:pPr>
              <w:rPr>
                <w:rFonts w:ascii="Arial" w:hAnsi="Arial" w:cs="Arial"/>
                <w:sz w:val="24"/>
                <w:szCs w:val="24"/>
              </w:rPr>
            </w:pPr>
            <w:r w:rsidRPr="009E515B">
              <w:rPr>
                <w:rFonts w:ascii="Arial" w:hAnsi="Arial" w:cs="Arial"/>
                <w:sz w:val="24"/>
                <w:szCs w:val="24"/>
              </w:rPr>
              <w:t xml:space="preserve">These facilities are included in the </w:t>
            </w:r>
            <w:proofErr w:type="gramStart"/>
            <w:r w:rsidRPr="009E515B">
              <w:rPr>
                <w:rFonts w:ascii="Arial" w:hAnsi="Arial" w:cs="Arial"/>
                <w:sz w:val="24"/>
                <w:szCs w:val="24"/>
              </w:rPr>
              <w:t>program,</w:t>
            </w:r>
            <w:proofErr w:type="gramEnd"/>
            <w:r w:rsidRPr="009E515B">
              <w:rPr>
                <w:rFonts w:ascii="Arial" w:hAnsi="Arial" w:cs="Arial"/>
                <w:sz w:val="24"/>
                <w:szCs w:val="24"/>
              </w:rPr>
              <w:t xml:space="preserve"> however, State law does not address inspection requirements. </w:t>
            </w:r>
          </w:p>
          <w:p w14:paraId="63E91A7C" w14:textId="77777777" w:rsidR="006F32F8" w:rsidRPr="009E515B" w:rsidRDefault="006F32F8" w:rsidP="00A86674">
            <w:pPr>
              <w:rPr>
                <w:rFonts w:ascii="Arial" w:hAnsi="Arial" w:cs="Arial"/>
                <w:sz w:val="24"/>
                <w:szCs w:val="24"/>
              </w:rPr>
            </w:pPr>
          </w:p>
          <w:p w14:paraId="2224C275" w14:textId="0381E210" w:rsidR="006F32F8" w:rsidRPr="009E515B" w:rsidRDefault="006F32F8" w:rsidP="00A86674">
            <w:pPr>
              <w:rPr>
                <w:rFonts w:ascii="Arial" w:hAnsi="Arial" w:cs="Arial"/>
                <w:sz w:val="24"/>
                <w:szCs w:val="24"/>
              </w:rPr>
            </w:pPr>
            <w:r w:rsidRPr="009E515B">
              <w:rPr>
                <w:rFonts w:ascii="Arial" w:hAnsi="Arial" w:cs="Arial"/>
                <w:sz w:val="24"/>
                <w:szCs w:val="24"/>
              </w:rPr>
              <w:t xml:space="preserve">While this </w:t>
            </w:r>
            <w:r w:rsidR="00A86674" w:rsidRPr="009E515B">
              <w:rPr>
                <w:rFonts w:ascii="Arial" w:hAnsi="Arial" w:cs="Arial"/>
                <w:sz w:val="24"/>
                <w:szCs w:val="24"/>
              </w:rPr>
              <w:t xml:space="preserve">requirement is more stringent than is specified in the Health and Safety Code Section 25270.5. </w:t>
            </w:r>
          </w:p>
          <w:p w14:paraId="085AFDA6" w14:textId="77777777" w:rsidR="006F32F8" w:rsidRPr="009E515B" w:rsidRDefault="006F32F8" w:rsidP="00A86674">
            <w:pPr>
              <w:rPr>
                <w:rFonts w:ascii="Arial" w:hAnsi="Arial" w:cs="Arial"/>
                <w:sz w:val="24"/>
                <w:szCs w:val="24"/>
              </w:rPr>
            </w:pPr>
          </w:p>
          <w:p w14:paraId="5056EA70" w14:textId="6DFFC5FA" w:rsidR="00335EBF" w:rsidRPr="009E515B" w:rsidRDefault="00A86674" w:rsidP="00A86674">
            <w:pPr>
              <w:rPr>
                <w:rFonts w:ascii="Arial" w:hAnsi="Arial" w:cs="Arial"/>
                <w:sz w:val="24"/>
                <w:szCs w:val="24"/>
              </w:rPr>
            </w:pPr>
            <w:r w:rsidRPr="009E515B">
              <w:rPr>
                <w:rFonts w:ascii="Arial" w:hAnsi="Arial" w:cs="Arial"/>
                <w:sz w:val="24"/>
                <w:szCs w:val="24"/>
              </w:rPr>
              <w:t xml:space="preserve">It is necessary to impose a more stringent requirement </w:t>
            </w:r>
            <w:proofErr w:type="gramStart"/>
            <w:r w:rsidRPr="009E515B">
              <w:rPr>
                <w:rFonts w:ascii="Arial" w:hAnsi="Arial" w:cs="Arial"/>
                <w:sz w:val="24"/>
                <w:szCs w:val="24"/>
              </w:rPr>
              <w:t>in order to</w:t>
            </w:r>
            <w:proofErr w:type="gramEnd"/>
            <w:r w:rsidRPr="009E515B">
              <w:rPr>
                <w:rFonts w:ascii="Arial" w:hAnsi="Arial" w:cs="Arial"/>
                <w:sz w:val="24"/>
                <w:szCs w:val="24"/>
              </w:rPr>
              <w:t xml:space="preserve"> meet the public safety purpose of the APSA. </w:t>
            </w:r>
          </w:p>
          <w:p w14:paraId="3888327F" w14:textId="77777777" w:rsidR="00335EBF" w:rsidRPr="009E515B" w:rsidRDefault="00335EBF" w:rsidP="00A86674">
            <w:pPr>
              <w:rPr>
                <w:rFonts w:ascii="Arial" w:hAnsi="Arial" w:cs="Arial"/>
                <w:sz w:val="24"/>
                <w:szCs w:val="24"/>
              </w:rPr>
            </w:pPr>
          </w:p>
          <w:p w14:paraId="12100E73" w14:textId="71D63BC4" w:rsidR="00A86674" w:rsidRDefault="00A86674" w:rsidP="00A86674">
            <w:pPr>
              <w:rPr>
                <w:rFonts w:ascii="Arial" w:hAnsi="Arial" w:cs="Arial"/>
                <w:sz w:val="24"/>
                <w:szCs w:val="24"/>
              </w:rPr>
            </w:pPr>
            <w:r w:rsidRPr="009E515B">
              <w:rPr>
                <w:rFonts w:ascii="Arial" w:hAnsi="Arial" w:cs="Arial"/>
                <w:sz w:val="24"/>
                <w:szCs w:val="24"/>
              </w:rPr>
              <w:t>These regulations provide guidance for UPAs to prioritize inspections</w:t>
            </w:r>
            <w:r w:rsidR="00335EBF" w:rsidRPr="009E515B">
              <w:rPr>
                <w:rFonts w:ascii="Arial" w:hAnsi="Arial" w:cs="Arial"/>
                <w:sz w:val="24"/>
                <w:szCs w:val="24"/>
              </w:rPr>
              <w:t>.</w:t>
            </w:r>
            <w:r w:rsidRPr="009E515B">
              <w:rPr>
                <w:rFonts w:ascii="Arial" w:hAnsi="Arial" w:cs="Arial"/>
                <w:sz w:val="24"/>
                <w:szCs w:val="24"/>
              </w:rPr>
              <w:t xml:space="preserve">  The option of an alternative inspection and compliance plan is consistent with the options provide to other types of facilities in statute.</w:t>
            </w:r>
          </w:p>
          <w:p w14:paraId="36009F7E" w14:textId="77777777" w:rsidR="00F57B0B" w:rsidRDefault="00F57B0B" w:rsidP="00A86674">
            <w:pPr>
              <w:rPr>
                <w:rFonts w:ascii="Arial" w:hAnsi="Arial" w:cs="Arial"/>
                <w:sz w:val="24"/>
                <w:szCs w:val="24"/>
              </w:rPr>
            </w:pPr>
          </w:p>
          <w:p w14:paraId="0E2CB2EE" w14:textId="77777777" w:rsidR="00F57B0B" w:rsidRPr="001C23CF" w:rsidRDefault="00F57B0B" w:rsidP="00F57B0B">
            <w:pPr>
              <w:rPr>
                <w:rFonts w:ascii="Arial" w:hAnsi="Arial" w:cs="Arial"/>
                <w:sz w:val="24"/>
                <w:szCs w:val="24"/>
              </w:rPr>
            </w:pPr>
            <w:r w:rsidRPr="001C23CF">
              <w:rPr>
                <w:rFonts w:ascii="Arial" w:hAnsi="Arial" w:cs="Arial"/>
                <w:sz w:val="24"/>
                <w:szCs w:val="24"/>
              </w:rPr>
              <w:t>CUPAs are already going to these facilities due to other Unified Programs.</w:t>
            </w:r>
          </w:p>
          <w:p w14:paraId="63D8FD12" w14:textId="77777777" w:rsidR="00F57B0B" w:rsidRPr="001C23CF" w:rsidRDefault="00F57B0B" w:rsidP="00F57B0B">
            <w:pPr>
              <w:rPr>
                <w:rFonts w:ascii="Arial" w:hAnsi="Arial" w:cs="Arial"/>
                <w:sz w:val="24"/>
                <w:szCs w:val="24"/>
              </w:rPr>
            </w:pPr>
          </w:p>
          <w:p w14:paraId="1671869D" w14:textId="77777777" w:rsidR="00F57B0B" w:rsidRPr="001C23CF" w:rsidRDefault="00F57B0B" w:rsidP="00F57B0B">
            <w:pPr>
              <w:rPr>
                <w:rFonts w:ascii="Arial" w:hAnsi="Arial" w:cs="Arial"/>
                <w:sz w:val="24"/>
                <w:szCs w:val="24"/>
              </w:rPr>
            </w:pPr>
            <w:r w:rsidRPr="001C23CF">
              <w:rPr>
                <w:rFonts w:ascii="Arial" w:hAnsi="Arial" w:cs="Arial"/>
                <w:sz w:val="24"/>
                <w:szCs w:val="24"/>
              </w:rPr>
              <w:t xml:space="preserve">99% are already subject to HMBP, that program requires once every </w:t>
            </w:r>
            <w:proofErr w:type="gramStart"/>
            <w:r w:rsidRPr="001C23CF">
              <w:rPr>
                <w:rFonts w:ascii="Arial" w:hAnsi="Arial" w:cs="Arial"/>
                <w:sz w:val="24"/>
                <w:szCs w:val="24"/>
              </w:rPr>
              <w:t>three year</w:t>
            </w:r>
            <w:proofErr w:type="gramEnd"/>
            <w:r w:rsidRPr="001C23CF">
              <w:rPr>
                <w:rFonts w:ascii="Arial" w:hAnsi="Arial" w:cs="Arial"/>
                <w:sz w:val="24"/>
                <w:szCs w:val="24"/>
              </w:rPr>
              <w:t xml:space="preserve"> inspection frequency. </w:t>
            </w:r>
          </w:p>
          <w:p w14:paraId="1C45FE2B" w14:textId="77777777" w:rsidR="00F57B0B" w:rsidRPr="001C23CF" w:rsidRDefault="00F57B0B" w:rsidP="00F57B0B">
            <w:pPr>
              <w:rPr>
                <w:rFonts w:ascii="Arial" w:hAnsi="Arial" w:cs="Arial"/>
                <w:i/>
                <w:iCs/>
                <w:sz w:val="24"/>
                <w:szCs w:val="24"/>
              </w:rPr>
            </w:pPr>
            <w:r w:rsidRPr="001C23CF">
              <w:rPr>
                <w:rFonts w:ascii="Arial" w:hAnsi="Arial" w:cs="Arial"/>
                <w:i/>
                <w:iCs/>
                <w:sz w:val="24"/>
                <w:szCs w:val="24"/>
              </w:rPr>
              <w:t xml:space="preserve"> </w:t>
            </w:r>
          </w:p>
          <w:p w14:paraId="443475E3" w14:textId="77777777" w:rsidR="00F57B0B" w:rsidRPr="001C23CF" w:rsidRDefault="00F57B0B" w:rsidP="00F57B0B">
            <w:pPr>
              <w:rPr>
                <w:rFonts w:ascii="Arial" w:hAnsi="Arial" w:cs="Arial"/>
                <w:sz w:val="24"/>
                <w:szCs w:val="24"/>
              </w:rPr>
            </w:pPr>
            <w:r w:rsidRPr="001C23CF">
              <w:rPr>
                <w:rFonts w:ascii="Arial" w:hAnsi="Arial" w:cs="Arial"/>
                <w:sz w:val="24"/>
                <w:szCs w:val="24"/>
              </w:rPr>
              <w:t>Facilities that meet the base requirements for HMBP, found in Health and Safety Code Section 25507. These are already inspected under other unified programs. Therefore, inspection of these facilities</w:t>
            </w:r>
            <w:r>
              <w:rPr>
                <w:rFonts w:ascii="Arial" w:hAnsi="Arial" w:cs="Arial"/>
                <w:sz w:val="24"/>
                <w:szCs w:val="24"/>
              </w:rPr>
              <w:t xml:space="preserve"> </w:t>
            </w:r>
            <w:r w:rsidRPr="001C23CF">
              <w:rPr>
                <w:rFonts w:ascii="Arial" w:hAnsi="Arial" w:cs="Arial"/>
                <w:sz w:val="24"/>
                <w:szCs w:val="24"/>
              </w:rPr>
              <w:t xml:space="preserve">is not added by these regulations, but just clarified. </w:t>
            </w:r>
          </w:p>
          <w:p w14:paraId="2B9B5D22" w14:textId="77777777" w:rsidR="00F57B0B" w:rsidRPr="001C23CF" w:rsidRDefault="00F57B0B" w:rsidP="00F57B0B">
            <w:pPr>
              <w:rPr>
                <w:rFonts w:ascii="Arial" w:hAnsi="Arial" w:cs="Arial"/>
                <w:sz w:val="24"/>
                <w:szCs w:val="24"/>
              </w:rPr>
            </w:pPr>
          </w:p>
          <w:p w14:paraId="0250A8C3" w14:textId="77777777" w:rsidR="00F57B0B" w:rsidRPr="001C23CF" w:rsidRDefault="00F57B0B" w:rsidP="00F57B0B">
            <w:pPr>
              <w:rPr>
                <w:rFonts w:ascii="Arial" w:hAnsi="Arial" w:cs="Arial"/>
                <w:sz w:val="24"/>
                <w:szCs w:val="24"/>
              </w:rPr>
            </w:pPr>
            <w:r w:rsidRPr="001C23CF">
              <w:rPr>
                <w:rFonts w:ascii="Arial" w:hAnsi="Arial" w:cs="Arial"/>
                <w:sz w:val="24"/>
                <w:szCs w:val="24"/>
              </w:rPr>
              <w:t xml:space="preserve">These facilities are subject to the HMBP requirements. The law does not explicitly state that they must be inspected, as it states that larger facilities must be inspected. However, effective enforcement requires inspections, therefore this requirement is directly required by statute. </w:t>
            </w:r>
          </w:p>
          <w:p w14:paraId="6B66F849" w14:textId="77777777" w:rsidR="00F57B0B" w:rsidRPr="001C23CF" w:rsidRDefault="00F57B0B" w:rsidP="00F57B0B">
            <w:pPr>
              <w:rPr>
                <w:rFonts w:ascii="Arial" w:hAnsi="Arial" w:cs="Arial"/>
                <w:sz w:val="24"/>
                <w:szCs w:val="24"/>
              </w:rPr>
            </w:pPr>
          </w:p>
          <w:p w14:paraId="684FF23E" w14:textId="77777777" w:rsidR="00F57B0B" w:rsidRPr="001C23CF" w:rsidRDefault="00F57B0B" w:rsidP="00F57B0B">
            <w:pPr>
              <w:rPr>
                <w:rFonts w:ascii="Arial" w:hAnsi="Arial" w:cs="Arial"/>
                <w:sz w:val="24"/>
                <w:szCs w:val="24"/>
              </w:rPr>
            </w:pPr>
            <w:r w:rsidRPr="001C23CF">
              <w:rPr>
                <w:rFonts w:ascii="Arial" w:hAnsi="Arial" w:cs="Arial"/>
                <w:sz w:val="24"/>
                <w:szCs w:val="24"/>
              </w:rPr>
              <w:lastRenderedPageBreak/>
              <w:t xml:space="preserve">Subject to multiple programs. </w:t>
            </w:r>
          </w:p>
          <w:p w14:paraId="5E0D30AE" w14:textId="77777777" w:rsidR="00F57B0B" w:rsidRPr="001C23CF" w:rsidRDefault="00F57B0B" w:rsidP="00F57B0B">
            <w:pPr>
              <w:rPr>
                <w:rFonts w:ascii="Arial" w:hAnsi="Arial" w:cs="Arial"/>
                <w:sz w:val="24"/>
                <w:szCs w:val="24"/>
              </w:rPr>
            </w:pPr>
          </w:p>
          <w:p w14:paraId="3B115C3A" w14:textId="77777777" w:rsidR="00F57B0B" w:rsidRPr="001C23CF" w:rsidRDefault="00F57B0B" w:rsidP="00F57B0B">
            <w:pPr>
              <w:rPr>
                <w:rFonts w:ascii="Arial" w:hAnsi="Arial" w:cs="Arial"/>
                <w:sz w:val="24"/>
                <w:szCs w:val="24"/>
              </w:rPr>
            </w:pPr>
            <w:r w:rsidRPr="001C23CF">
              <w:rPr>
                <w:rFonts w:ascii="Arial" w:hAnsi="Arial" w:cs="Arial"/>
                <w:sz w:val="24"/>
                <w:szCs w:val="24"/>
              </w:rPr>
              <w:t xml:space="preserve">What are they there for? </w:t>
            </w:r>
          </w:p>
          <w:p w14:paraId="240BEED2" w14:textId="77777777" w:rsidR="00F57B0B" w:rsidRPr="001C23CF" w:rsidRDefault="00F57B0B" w:rsidP="00F57B0B">
            <w:pPr>
              <w:rPr>
                <w:rFonts w:ascii="Arial" w:hAnsi="Arial" w:cs="Arial"/>
                <w:sz w:val="24"/>
                <w:szCs w:val="24"/>
              </w:rPr>
            </w:pPr>
            <w:r w:rsidRPr="001C23CF">
              <w:rPr>
                <w:rFonts w:ascii="Arial" w:hAnsi="Arial" w:cs="Arial"/>
                <w:sz w:val="24"/>
                <w:szCs w:val="24"/>
              </w:rPr>
              <w:t xml:space="preserve">For example- underground tanks- annual inspection. </w:t>
            </w:r>
          </w:p>
          <w:p w14:paraId="78D5A848" w14:textId="77777777" w:rsidR="00F57B0B" w:rsidRPr="001C23CF" w:rsidRDefault="00F57B0B" w:rsidP="00F57B0B">
            <w:pPr>
              <w:rPr>
                <w:rFonts w:ascii="Arial" w:hAnsi="Arial" w:cs="Arial"/>
                <w:sz w:val="24"/>
                <w:szCs w:val="24"/>
              </w:rPr>
            </w:pPr>
            <w:r w:rsidRPr="001C23CF">
              <w:rPr>
                <w:rFonts w:ascii="Arial" w:hAnsi="Arial" w:cs="Arial"/>
                <w:sz w:val="24"/>
                <w:szCs w:val="24"/>
              </w:rPr>
              <w:t xml:space="preserve">The inspections are supposed to be consolidated. </w:t>
            </w:r>
          </w:p>
          <w:p w14:paraId="37A5C2A0" w14:textId="77777777" w:rsidR="00F57B0B" w:rsidRPr="001C23CF" w:rsidRDefault="00F57B0B" w:rsidP="00F57B0B">
            <w:pPr>
              <w:rPr>
                <w:rFonts w:ascii="Arial" w:hAnsi="Arial" w:cs="Arial"/>
                <w:sz w:val="24"/>
                <w:szCs w:val="24"/>
              </w:rPr>
            </w:pPr>
            <w:r w:rsidRPr="001C23CF">
              <w:rPr>
                <w:rFonts w:ascii="Arial" w:hAnsi="Arial" w:cs="Arial"/>
                <w:sz w:val="24"/>
                <w:szCs w:val="24"/>
              </w:rPr>
              <w:t xml:space="preserve">So, each year they inspect for underground tanks. But every third year they would also inspect for APSA. </w:t>
            </w:r>
          </w:p>
          <w:p w14:paraId="6D284053" w14:textId="77777777" w:rsidR="00F57B0B" w:rsidRPr="001C23CF" w:rsidRDefault="00F57B0B" w:rsidP="00F57B0B">
            <w:pPr>
              <w:rPr>
                <w:rFonts w:ascii="Arial" w:hAnsi="Arial" w:cs="Arial"/>
                <w:sz w:val="24"/>
                <w:szCs w:val="24"/>
              </w:rPr>
            </w:pPr>
          </w:p>
          <w:p w14:paraId="2852DE73" w14:textId="77777777" w:rsidR="00F57B0B" w:rsidRPr="009E515B" w:rsidRDefault="00F57B0B" w:rsidP="00A86674">
            <w:pPr>
              <w:rPr>
                <w:rFonts w:ascii="Arial" w:hAnsi="Arial" w:cs="Arial"/>
                <w:sz w:val="24"/>
                <w:szCs w:val="24"/>
              </w:rPr>
            </w:pPr>
          </w:p>
          <w:p w14:paraId="3860BBC3" w14:textId="0CA9AA1A" w:rsidR="00A86674" w:rsidRPr="009E515B" w:rsidRDefault="00A86674" w:rsidP="00A86674">
            <w:pPr>
              <w:rPr>
                <w:rFonts w:ascii="Arial" w:hAnsi="Arial" w:cs="Arial"/>
                <w:b/>
                <w:bCs/>
                <w:sz w:val="24"/>
                <w:szCs w:val="24"/>
              </w:rPr>
            </w:pPr>
          </w:p>
        </w:tc>
      </w:tr>
      <w:tr w:rsidR="00A86674" w:rsidRPr="009E515B" w14:paraId="36D3FCD8" w14:textId="3B1F8002" w:rsidTr="00A86674">
        <w:trPr>
          <w:trHeight w:val="170"/>
        </w:trPr>
        <w:tc>
          <w:tcPr>
            <w:tcW w:w="1440" w:type="dxa"/>
          </w:tcPr>
          <w:p w14:paraId="3B35FEC4" w14:textId="77777777" w:rsidR="00A86674" w:rsidRPr="009E515B" w:rsidRDefault="003F74CA" w:rsidP="00A86674">
            <w:pPr>
              <w:rPr>
                <w:rFonts w:ascii="Arial" w:eastAsia="Times New Roman" w:hAnsi="Arial" w:cs="Arial"/>
                <w:b/>
                <w:bCs/>
                <w:sz w:val="24"/>
                <w:szCs w:val="24"/>
              </w:rPr>
            </w:pPr>
            <w:hyperlink r:id="rId25" w:history="1">
              <w:r w:rsidR="00A86674" w:rsidRPr="009E515B">
                <w:rPr>
                  <w:rStyle w:val="Hyperlink"/>
                  <w:rFonts w:ascii="Arial" w:eastAsia="Times New Roman" w:hAnsi="Arial" w:cs="Arial"/>
                  <w:b/>
                  <w:bCs/>
                  <w:color w:val="auto"/>
                  <w:sz w:val="24"/>
                  <w:szCs w:val="24"/>
                  <w:bdr w:val="none" w:sz="0" w:space="0" w:color="auto" w:frame="1"/>
                </w:rPr>
                <w:t>25270.5.</w:t>
              </w:r>
            </w:hyperlink>
          </w:p>
          <w:p w14:paraId="6886E0C8" w14:textId="77777777" w:rsidR="00A86674" w:rsidRPr="009E515B" w:rsidRDefault="00A86674" w:rsidP="00A86674">
            <w:pPr>
              <w:rPr>
                <w:rFonts w:ascii="Arial" w:hAnsi="Arial" w:cs="Arial"/>
                <w:sz w:val="24"/>
                <w:szCs w:val="24"/>
              </w:rPr>
            </w:pPr>
          </w:p>
        </w:tc>
        <w:tc>
          <w:tcPr>
            <w:tcW w:w="8640" w:type="dxa"/>
          </w:tcPr>
          <w:p w14:paraId="19B45B72" w14:textId="5AEC29B0" w:rsidR="00A86674" w:rsidRPr="009E515B" w:rsidRDefault="00A86674" w:rsidP="00A86674">
            <w:pPr>
              <w:rPr>
                <w:rFonts w:ascii="Arial" w:hAnsi="Arial" w:cs="Arial"/>
                <w:b/>
                <w:bCs/>
                <w:sz w:val="24"/>
                <w:szCs w:val="24"/>
              </w:rPr>
            </w:pPr>
            <w:r w:rsidRPr="009E515B">
              <w:rPr>
                <w:rFonts w:ascii="Arial" w:hAnsi="Arial" w:cs="Arial"/>
                <w:b/>
                <w:sz w:val="24"/>
                <w:szCs w:val="24"/>
              </w:rPr>
              <w:t xml:space="preserve">UPA Inspections of </w:t>
            </w:r>
            <w:r w:rsidRPr="009E515B">
              <w:rPr>
                <w:rFonts w:ascii="Arial" w:hAnsi="Arial" w:cs="Arial"/>
                <w:b/>
                <w:bCs/>
                <w:sz w:val="24"/>
                <w:szCs w:val="24"/>
              </w:rPr>
              <w:t>facilities that are conditionally exempt from preparing an SPCC Plan</w:t>
            </w:r>
          </w:p>
          <w:p w14:paraId="711E135F" w14:textId="1577C6C5" w:rsidR="00A86674" w:rsidRPr="009E515B" w:rsidRDefault="00A86674" w:rsidP="00A86674">
            <w:pPr>
              <w:rPr>
                <w:rFonts w:ascii="Arial" w:hAnsi="Arial" w:cs="Arial"/>
                <w:sz w:val="24"/>
                <w:szCs w:val="24"/>
              </w:rPr>
            </w:pPr>
            <w:r w:rsidRPr="009E515B">
              <w:rPr>
                <w:rFonts w:ascii="Arial" w:hAnsi="Arial" w:cs="Arial"/>
                <w:sz w:val="24"/>
                <w:szCs w:val="24"/>
              </w:rPr>
              <w:t xml:space="preserve">Tank facilities that meet the exemption conditions </w:t>
            </w:r>
            <w:r w:rsidR="00A34B37" w:rsidRPr="009E515B">
              <w:rPr>
                <w:rFonts w:ascii="Arial" w:hAnsi="Arial" w:cs="Arial"/>
                <w:sz w:val="24"/>
                <w:szCs w:val="24"/>
              </w:rPr>
              <w:t xml:space="preserve">HSC </w:t>
            </w:r>
            <w:r w:rsidRPr="009E515B">
              <w:rPr>
                <w:rFonts w:ascii="Arial" w:hAnsi="Arial" w:cs="Arial"/>
                <w:sz w:val="24"/>
                <w:szCs w:val="24"/>
              </w:rPr>
              <w:t>25270.4.5</w:t>
            </w:r>
            <w:r w:rsidR="00A34B37" w:rsidRPr="009E515B">
              <w:rPr>
                <w:rFonts w:ascii="Arial" w:hAnsi="Arial" w:cs="Arial"/>
                <w:sz w:val="24"/>
                <w:szCs w:val="24"/>
              </w:rPr>
              <w:t xml:space="preserve"> (b)</w:t>
            </w:r>
            <w:r w:rsidRPr="009E515B">
              <w:rPr>
                <w:rFonts w:ascii="Arial" w:hAnsi="Arial" w:cs="Arial"/>
                <w:sz w:val="24"/>
                <w:szCs w:val="24"/>
              </w:rPr>
              <w:t xml:space="preserve"> are not required to prepare and implement an SPCC plan under APSA.  An inspection for compliance with the SPCC plan requirements of APSA is, therefore, not required at such tank facilities. An inspection is used to verify compliance with the conditional exemptions described </w:t>
            </w:r>
            <w:proofErr w:type="gramStart"/>
            <w:r w:rsidRPr="009E515B">
              <w:rPr>
                <w:rFonts w:ascii="Arial" w:hAnsi="Arial" w:cs="Arial"/>
                <w:sz w:val="24"/>
                <w:szCs w:val="24"/>
              </w:rPr>
              <w:t>in order for</w:t>
            </w:r>
            <w:proofErr w:type="gramEnd"/>
            <w:r w:rsidRPr="009E515B">
              <w:rPr>
                <w:rFonts w:ascii="Arial" w:hAnsi="Arial" w:cs="Arial"/>
                <w:sz w:val="24"/>
                <w:szCs w:val="24"/>
              </w:rPr>
              <w:t xml:space="preserve"> a facility to maintain its status. The option of an alternative inspection and compliance plan is consistent with the options provide to other types of facilities in statute. </w:t>
            </w:r>
          </w:p>
          <w:p w14:paraId="5C32F1F7" w14:textId="626C55A2" w:rsidR="00A86674" w:rsidRPr="009E515B" w:rsidRDefault="00A86674" w:rsidP="00A86674">
            <w:pPr>
              <w:rPr>
                <w:rFonts w:ascii="Arial" w:hAnsi="Arial" w:cs="Arial"/>
                <w:b/>
                <w:bCs/>
                <w:sz w:val="24"/>
                <w:szCs w:val="24"/>
              </w:rPr>
            </w:pPr>
          </w:p>
        </w:tc>
      </w:tr>
      <w:tr w:rsidR="00A86674" w:rsidRPr="009E515B" w14:paraId="323564ED" w14:textId="0DDD5077" w:rsidTr="00A86674">
        <w:trPr>
          <w:trHeight w:val="350"/>
        </w:trPr>
        <w:tc>
          <w:tcPr>
            <w:tcW w:w="1440" w:type="dxa"/>
          </w:tcPr>
          <w:p w14:paraId="1D8C9D32" w14:textId="77777777" w:rsidR="00A86674" w:rsidRPr="009E515B" w:rsidRDefault="003F74CA" w:rsidP="00A86674">
            <w:pPr>
              <w:rPr>
                <w:rFonts w:ascii="Arial" w:eastAsia="Times New Roman" w:hAnsi="Arial" w:cs="Arial"/>
                <w:b/>
                <w:bCs/>
                <w:sz w:val="24"/>
                <w:szCs w:val="24"/>
              </w:rPr>
            </w:pPr>
            <w:hyperlink r:id="rId26" w:history="1">
              <w:r w:rsidR="00A86674" w:rsidRPr="009E515B">
                <w:rPr>
                  <w:rStyle w:val="Hyperlink"/>
                  <w:rFonts w:ascii="Arial" w:eastAsia="Times New Roman" w:hAnsi="Arial" w:cs="Arial"/>
                  <w:b/>
                  <w:bCs/>
                  <w:color w:val="auto"/>
                  <w:sz w:val="24"/>
                  <w:szCs w:val="24"/>
                  <w:bdr w:val="none" w:sz="0" w:space="0" w:color="auto" w:frame="1"/>
                </w:rPr>
                <w:t>25270.5.</w:t>
              </w:r>
            </w:hyperlink>
          </w:p>
          <w:p w14:paraId="0E3CC82B" w14:textId="77777777" w:rsidR="00A86674" w:rsidRPr="009E515B" w:rsidRDefault="00A86674" w:rsidP="00A86674">
            <w:pPr>
              <w:rPr>
                <w:rFonts w:ascii="Arial" w:hAnsi="Arial" w:cs="Arial"/>
                <w:sz w:val="24"/>
                <w:szCs w:val="24"/>
              </w:rPr>
            </w:pPr>
          </w:p>
        </w:tc>
        <w:tc>
          <w:tcPr>
            <w:tcW w:w="8640" w:type="dxa"/>
          </w:tcPr>
          <w:p w14:paraId="1845096A" w14:textId="2E9C2C32" w:rsidR="00A86674" w:rsidRPr="009E515B" w:rsidRDefault="00A86674" w:rsidP="00A86674">
            <w:pPr>
              <w:rPr>
                <w:rFonts w:ascii="Arial" w:hAnsi="Arial" w:cs="Arial"/>
                <w:sz w:val="24"/>
                <w:szCs w:val="24"/>
              </w:rPr>
            </w:pPr>
            <w:r w:rsidRPr="009E515B">
              <w:rPr>
                <w:rFonts w:ascii="Arial" w:hAnsi="Arial" w:cs="Arial"/>
                <w:b/>
                <w:sz w:val="24"/>
                <w:szCs w:val="24"/>
              </w:rPr>
              <w:t>UPA Staff Trainin</w:t>
            </w:r>
            <w:r w:rsidRPr="009E515B">
              <w:rPr>
                <w:rFonts w:ascii="Arial" w:hAnsi="Arial" w:cs="Arial"/>
                <w:b/>
                <w:bCs/>
                <w:sz w:val="24"/>
                <w:szCs w:val="24"/>
              </w:rPr>
              <w:t>g</w:t>
            </w:r>
          </w:p>
          <w:p w14:paraId="7263067F" w14:textId="38583BA7" w:rsidR="00A86674" w:rsidRPr="009E515B" w:rsidRDefault="00A86674" w:rsidP="00A86674">
            <w:pPr>
              <w:rPr>
                <w:rFonts w:ascii="Arial" w:hAnsi="Arial" w:cs="Arial"/>
                <w:sz w:val="24"/>
                <w:szCs w:val="24"/>
              </w:rPr>
            </w:pPr>
            <w:r w:rsidRPr="009E515B">
              <w:rPr>
                <w:rFonts w:ascii="Arial" w:hAnsi="Arial" w:cs="Arial"/>
                <w:sz w:val="24"/>
                <w:szCs w:val="24"/>
              </w:rPr>
              <w:t>(a)(</w:t>
            </w:r>
            <w:proofErr w:type="gramStart"/>
            <w:r w:rsidRPr="009E515B">
              <w:rPr>
                <w:rFonts w:ascii="Arial" w:hAnsi="Arial" w:cs="Arial"/>
                <w:sz w:val="24"/>
                <w:szCs w:val="24"/>
              </w:rPr>
              <w:t>b)This</w:t>
            </w:r>
            <w:proofErr w:type="gramEnd"/>
            <w:r w:rsidRPr="009E515B">
              <w:rPr>
                <w:rFonts w:ascii="Arial" w:hAnsi="Arial" w:cs="Arial"/>
                <w:sz w:val="24"/>
                <w:szCs w:val="24"/>
              </w:rPr>
              <w:t xml:space="preserve"> section establishes requirements for UPA staff training, including ongoing or refresher training.</w:t>
            </w:r>
          </w:p>
          <w:p w14:paraId="5BFD2F12" w14:textId="77777777" w:rsidR="00A86674" w:rsidRPr="009E515B" w:rsidRDefault="00A86674" w:rsidP="00A86674">
            <w:pPr>
              <w:rPr>
                <w:rFonts w:ascii="Arial" w:hAnsi="Arial" w:cs="Arial"/>
                <w:b/>
                <w:bCs/>
                <w:sz w:val="24"/>
                <w:szCs w:val="24"/>
              </w:rPr>
            </w:pPr>
          </w:p>
          <w:p w14:paraId="1B03A5F9" w14:textId="77777777" w:rsidR="00A86674" w:rsidRPr="009E515B" w:rsidRDefault="00A86674" w:rsidP="00A86674">
            <w:pPr>
              <w:rPr>
                <w:rFonts w:ascii="Arial" w:hAnsi="Arial" w:cs="Arial"/>
                <w:sz w:val="24"/>
                <w:szCs w:val="24"/>
              </w:rPr>
            </w:pPr>
            <w:r w:rsidRPr="009E515B">
              <w:rPr>
                <w:rFonts w:ascii="Arial" w:hAnsi="Arial" w:cs="Arial"/>
                <w:sz w:val="24"/>
                <w:szCs w:val="24"/>
              </w:rPr>
              <w:t xml:space="preserve">Training classes on APSA, the Code of Federal Regulations, Title 40, Part 112, SPCC plan requirements, and other related topics are provided to UPAs annually at the California Unified Program Training conference.  Classes at the training conference are generally provided in two-hour increments over a span of several days.  An UPA staff may complete six hours of APSA training in less than one day at the California Unified Program Training conference, or two hours of APSA training over a span of three training conferences.  The three-year frequency is consistent with the frequency that UPAs </w:t>
            </w:r>
            <w:proofErr w:type="gramStart"/>
            <w:r w:rsidRPr="009E515B">
              <w:rPr>
                <w:rFonts w:ascii="Arial" w:hAnsi="Arial" w:cs="Arial"/>
                <w:sz w:val="24"/>
                <w:szCs w:val="24"/>
              </w:rPr>
              <w:t>are</w:t>
            </w:r>
            <w:proofErr w:type="gramEnd"/>
            <w:r w:rsidRPr="009E515B">
              <w:rPr>
                <w:rFonts w:ascii="Arial" w:hAnsi="Arial" w:cs="Arial"/>
                <w:sz w:val="24"/>
                <w:szCs w:val="24"/>
              </w:rPr>
              <w:t xml:space="preserve"> evaluated in their implementation of the Unified Program, including the APSA program, and it is also consistent with the mandated inspection frequency for certain facilities regulated under APSA.  </w:t>
            </w:r>
          </w:p>
          <w:p w14:paraId="76031287" w14:textId="77777777" w:rsidR="00A86674" w:rsidRPr="009E515B" w:rsidRDefault="00A86674" w:rsidP="00A86674">
            <w:pPr>
              <w:rPr>
                <w:rFonts w:ascii="Arial" w:hAnsi="Arial" w:cs="Arial"/>
                <w:sz w:val="24"/>
                <w:szCs w:val="24"/>
              </w:rPr>
            </w:pPr>
          </w:p>
          <w:p w14:paraId="6EEAB369" w14:textId="77777777" w:rsidR="00A86674" w:rsidRPr="009E515B" w:rsidRDefault="00A86674" w:rsidP="00A86674">
            <w:pPr>
              <w:rPr>
                <w:rFonts w:ascii="Arial" w:hAnsi="Arial" w:cs="Arial"/>
                <w:b/>
                <w:bCs/>
                <w:sz w:val="24"/>
                <w:szCs w:val="24"/>
              </w:rPr>
            </w:pPr>
            <w:r w:rsidRPr="009E515B">
              <w:rPr>
                <w:rFonts w:ascii="Arial" w:hAnsi="Arial" w:cs="Arial"/>
                <w:sz w:val="24"/>
                <w:szCs w:val="24"/>
              </w:rPr>
              <w:t xml:space="preserve">Training, including refresher training, is necessary to ensure that the UPA staff conducting tank facility inspections are current in their knowledge of the requirements in APSA and the Federal SPCC rule requirements.  UPA staff must be regularly trained to </w:t>
            </w:r>
            <w:proofErr w:type="gramStart"/>
            <w:r w:rsidRPr="009E515B">
              <w:rPr>
                <w:rFonts w:ascii="Arial" w:hAnsi="Arial" w:cs="Arial"/>
                <w:sz w:val="24"/>
                <w:szCs w:val="24"/>
              </w:rPr>
              <w:t>effectively and consistently inspect APSA facilities</w:t>
            </w:r>
            <w:proofErr w:type="gramEnd"/>
            <w:r w:rsidRPr="009E515B">
              <w:rPr>
                <w:rFonts w:ascii="Arial" w:hAnsi="Arial" w:cs="Arial"/>
                <w:sz w:val="24"/>
                <w:szCs w:val="24"/>
              </w:rPr>
              <w:t xml:space="preserve"> and identify violations.  </w:t>
            </w:r>
          </w:p>
          <w:p w14:paraId="3CF1B26A" w14:textId="77777777" w:rsidR="00A86674" w:rsidRPr="009E515B" w:rsidRDefault="00A86674" w:rsidP="00A86674">
            <w:pPr>
              <w:rPr>
                <w:rFonts w:ascii="Arial" w:hAnsi="Arial" w:cs="Arial"/>
                <w:sz w:val="24"/>
                <w:szCs w:val="24"/>
              </w:rPr>
            </w:pPr>
          </w:p>
          <w:p w14:paraId="1F565C4F" w14:textId="77777777" w:rsidR="00A86674" w:rsidRPr="009E515B" w:rsidRDefault="00A86674" w:rsidP="00A86674">
            <w:pPr>
              <w:rPr>
                <w:rFonts w:ascii="Arial" w:hAnsi="Arial" w:cs="Arial"/>
                <w:sz w:val="24"/>
                <w:szCs w:val="24"/>
              </w:rPr>
            </w:pPr>
            <w:r w:rsidRPr="009E515B">
              <w:rPr>
                <w:rFonts w:ascii="Arial" w:hAnsi="Arial" w:cs="Arial"/>
                <w:sz w:val="24"/>
                <w:szCs w:val="24"/>
              </w:rPr>
              <w:lastRenderedPageBreak/>
              <w:t>Documentation is required to ensure that UPA inspector initial and refresher trainings are being completed. Documentation of the training serves as a record and verification of the training.</w:t>
            </w:r>
          </w:p>
          <w:p w14:paraId="403BC82B" w14:textId="77777777" w:rsidR="00A86674" w:rsidRPr="009E515B" w:rsidRDefault="00A86674" w:rsidP="00A86674">
            <w:pPr>
              <w:rPr>
                <w:rFonts w:ascii="Arial" w:hAnsi="Arial" w:cs="Arial"/>
                <w:b/>
                <w:bCs/>
                <w:sz w:val="24"/>
                <w:szCs w:val="24"/>
              </w:rPr>
            </w:pPr>
          </w:p>
          <w:p w14:paraId="06484D42" w14:textId="77777777" w:rsidR="00A86674" w:rsidRPr="009E515B" w:rsidRDefault="00A86674" w:rsidP="00A86674">
            <w:pPr>
              <w:rPr>
                <w:rFonts w:ascii="Arial" w:hAnsi="Arial" w:cs="Arial"/>
                <w:sz w:val="24"/>
                <w:szCs w:val="24"/>
              </w:rPr>
            </w:pPr>
            <w:r w:rsidRPr="009E515B">
              <w:rPr>
                <w:rFonts w:ascii="Arial" w:hAnsi="Arial" w:cs="Arial"/>
                <w:sz w:val="24"/>
                <w:szCs w:val="24"/>
              </w:rPr>
              <w:t xml:space="preserve">(c) Tank facilities that meet the </w:t>
            </w:r>
            <w:proofErr w:type="gramStart"/>
            <w:r w:rsidRPr="009E515B">
              <w:rPr>
                <w:rFonts w:ascii="Arial" w:hAnsi="Arial" w:cs="Arial"/>
                <w:sz w:val="24"/>
                <w:szCs w:val="24"/>
              </w:rPr>
              <w:t>exemption  conditions</w:t>
            </w:r>
            <w:proofErr w:type="gramEnd"/>
            <w:r w:rsidRPr="009E515B">
              <w:rPr>
                <w:rFonts w:ascii="Arial" w:hAnsi="Arial" w:cs="Arial"/>
                <w:sz w:val="24"/>
                <w:szCs w:val="24"/>
              </w:rPr>
              <w:t xml:space="preserve"> described in proposed Section 2171(b) are not required to prepare and implement an SPCC plan under APSA.  An inspection for compliance with the SPCC plan requirements of APSA is, therefore, not required at such tank facilities.  The initial training as described in Health and Safety Code Section 25270.5(c) focuses on the SPCC plan provisions and safety requirements for AST inspections by UPAs.  Hence, UPA staff that only verify compliance with the conditional exemptions not required to complete the initial training or refresher training. </w:t>
            </w:r>
          </w:p>
          <w:p w14:paraId="6AEEC95F" w14:textId="7D42C9E5" w:rsidR="00A86674" w:rsidRPr="009E515B" w:rsidRDefault="00A86674" w:rsidP="00A86674">
            <w:pPr>
              <w:rPr>
                <w:rFonts w:ascii="Arial" w:hAnsi="Arial" w:cs="Arial"/>
                <w:sz w:val="24"/>
                <w:szCs w:val="24"/>
              </w:rPr>
            </w:pPr>
          </w:p>
        </w:tc>
      </w:tr>
      <w:tr w:rsidR="00A86674" w:rsidRPr="009E515B" w14:paraId="57C14F03" w14:textId="3354CE8B" w:rsidTr="00A86674">
        <w:trPr>
          <w:trHeight w:val="350"/>
        </w:trPr>
        <w:tc>
          <w:tcPr>
            <w:tcW w:w="1440" w:type="dxa"/>
          </w:tcPr>
          <w:p w14:paraId="265E9C87" w14:textId="7BBF8448" w:rsidR="00A86674" w:rsidRPr="009E515B" w:rsidRDefault="003F74CA" w:rsidP="00A86674">
            <w:pPr>
              <w:rPr>
                <w:rFonts w:ascii="Arial" w:eastAsia="Times New Roman" w:hAnsi="Arial" w:cs="Arial"/>
                <w:b/>
                <w:bCs/>
                <w:sz w:val="24"/>
                <w:szCs w:val="24"/>
              </w:rPr>
            </w:pPr>
            <w:hyperlink r:id="rId27" w:history="1">
              <w:r w:rsidR="00A86674" w:rsidRPr="009E515B">
                <w:rPr>
                  <w:rStyle w:val="Hyperlink"/>
                  <w:rFonts w:ascii="Arial" w:eastAsia="Times New Roman" w:hAnsi="Arial" w:cs="Arial"/>
                  <w:b/>
                  <w:bCs/>
                  <w:color w:val="auto"/>
                  <w:sz w:val="24"/>
                  <w:szCs w:val="24"/>
                  <w:bdr w:val="none" w:sz="0" w:space="0" w:color="auto" w:frame="1"/>
                </w:rPr>
                <w:t>25270.6.</w:t>
              </w:r>
            </w:hyperlink>
          </w:p>
        </w:tc>
        <w:tc>
          <w:tcPr>
            <w:tcW w:w="8640" w:type="dxa"/>
          </w:tcPr>
          <w:p w14:paraId="58ABDFAA" w14:textId="77777777" w:rsidR="00A86674" w:rsidRPr="009E515B" w:rsidRDefault="00A86674" w:rsidP="00A86674">
            <w:pPr>
              <w:rPr>
                <w:rFonts w:ascii="Arial" w:hAnsi="Arial" w:cs="Arial"/>
                <w:b/>
                <w:bCs/>
                <w:sz w:val="24"/>
                <w:szCs w:val="24"/>
              </w:rPr>
            </w:pPr>
            <w:r w:rsidRPr="009E515B">
              <w:rPr>
                <w:rFonts w:ascii="Arial" w:hAnsi="Arial" w:cs="Arial"/>
                <w:b/>
                <w:bCs/>
                <w:sz w:val="24"/>
                <w:szCs w:val="24"/>
              </w:rPr>
              <w:t xml:space="preserve">Tank Facility Electronic Reporting </w:t>
            </w:r>
          </w:p>
          <w:p w14:paraId="7A5C8704" w14:textId="32E18E81" w:rsidR="00A86674" w:rsidRPr="009E515B" w:rsidRDefault="00A86674" w:rsidP="00A86674">
            <w:pPr>
              <w:rPr>
                <w:rFonts w:ascii="Arial" w:hAnsi="Arial" w:cs="Arial"/>
                <w:sz w:val="24"/>
                <w:szCs w:val="24"/>
              </w:rPr>
            </w:pPr>
            <w:r w:rsidRPr="009E515B">
              <w:rPr>
                <w:rFonts w:ascii="Arial" w:hAnsi="Arial" w:cs="Arial"/>
                <w:sz w:val="24"/>
                <w:szCs w:val="24"/>
              </w:rPr>
              <w:t>These data fields are currently included in the California Environmental Reporting System (CERS)</w:t>
            </w:r>
            <w:r w:rsidR="0061336D" w:rsidRPr="009E515B">
              <w:rPr>
                <w:rFonts w:ascii="Arial" w:hAnsi="Arial" w:cs="Arial"/>
                <w:sz w:val="24"/>
                <w:szCs w:val="24"/>
              </w:rPr>
              <w:t xml:space="preserve"> and </w:t>
            </w:r>
            <w:r w:rsidR="00B72B51" w:rsidRPr="009E515B">
              <w:rPr>
                <w:rFonts w:ascii="Arial" w:hAnsi="Arial" w:cs="Arial"/>
                <w:sz w:val="24"/>
                <w:szCs w:val="24"/>
              </w:rPr>
              <w:t>the Unified Program regulations</w:t>
            </w:r>
            <w:r w:rsidR="00A643BD" w:rsidRPr="009E515B">
              <w:rPr>
                <w:rFonts w:ascii="Arial" w:hAnsi="Arial" w:cs="Arial"/>
                <w:sz w:val="24"/>
                <w:szCs w:val="24"/>
              </w:rPr>
              <w:t xml:space="preserve"> in CCR Title 27</w:t>
            </w:r>
            <w:r w:rsidR="00B72B51" w:rsidRPr="009E515B">
              <w:rPr>
                <w:rFonts w:ascii="Arial" w:hAnsi="Arial" w:cs="Arial"/>
                <w:sz w:val="24"/>
                <w:szCs w:val="24"/>
              </w:rPr>
              <w:t>;</w:t>
            </w:r>
            <w:r w:rsidRPr="009E515B">
              <w:rPr>
                <w:rFonts w:ascii="Arial" w:hAnsi="Arial" w:cs="Arial"/>
                <w:sz w:val="24"/>
                <w:szCs w:val="24"/>
              </w:rPr>
              <w:t xml:space="preserve"> however</w:t>
            </w:r>
            <w:r w:rsidR="00B72B51" w:rsidRPr="009E515B">
              <w:rPr>
                <w:rFonts w:ascii="Arial" w:hAnsi="Arial" w:cs="Arial"/>
                <w:sz w:val="24"/>
                <w:szCs w:val="24"/>
              </w:rPr>
              <w:t>,</w:t>
            </w:r>
            <w:r w:rsidRPr="009E515B">
              <w:rPr>
                <w:rFonts w:ascii="Arial" w:hAnsi="Arial" w:cs="Arial"/>
                <w:sz w:val="24"/>
                <w:szCs w:val="24"/>
              </w:rPr>
              <w:t xml:space="preserve"> Unified Program regulations do not require that the fields are completed and many </w:t>
            </w:r>
            <w:r w:rsidR="002D4E33" w:rsidRPr="009E515B">
              <w:rPr>
                <w:rFonts w:ascii="Arial" w:hAnsi="Arial" w:cs="Arial"/>
                <w:sz w:val="24"/>
                <w:szCs w:val="24"/>
              </w:rPr>
              <w:t>tank facilitie</w:t>
            </w:r>
            <w:r w:rsidRPr="009E515B">
              <w:rPr>
                <w:rFonts w:ascii="Arial" w:hAnsi="Arial" w:cs="Arial"/>
                <w:sz w:val="24"/>
                <w:szCs w:val="24"/>
              </w:rPr>
              <w:t>s do not consistently complete these data fields.</w:t>
            </w:r>
          </w:p>
          <w:p w14:paraId="0AE55C66" w14:textId="3519A362" w:rsidR="00A86674" w:rsidRPr="009E515B" w:rsidRDefault="00A86674" w:rsidP="00A86674">
            <w:pPr>
              <w:rPr>
                <w:rFonts w:ascii="Arial" w:hAnsi="Arial" w:cs="Arial"/>
                <w:b/>
                <w:bCs/>
                <w:sz w:val="24"/>
                <w:szCs w:val="24"/>
              </w:rPr>
            </w:pPr>
          </w:p>
          <w:p w14:paraId="0F5CCFF0" w14:textId="77777777" w:rsidR="00A86674" w:rsidRPr="009E515B" w:rsidRDefault="00A86674" w:rsidP="00A86674">
            <w:pPr>
              <w:rPr>
                <w:rFonts w:ascii="Arial" w:hAnsi="Arial" w:cs="Arial"/>
                <w:sz w:val="24"/>
                <w:szCs w:val="24"/>
              </w:rPr>
            </w:pPr>
            <w:r w:rsidRPr="009E515B">
              <w:rPr>
                <w:rFonts w:ascii="Arial" w:hAnsi="Arial" w:cs="Arial"/>
                <w:sz w:val="24"/>
                <w:szCs w:val="24"/>
              </w:rPr>
              <w:t xml:space="preserve">The answers required in these data fields are information that can be readily extracted from a tank facility’s current/existing SPCC plan and are essential for UPAs to track and prioritize inspections. This information will also be essential for the OSFM oversight of the APSA program, particularly when evaluating UPAs in their implementation of the APSA program. </w:t>
            </w:r>
          </w:p>
          <w:p w14:paraId="76A1D63E" w14:textId="77777777" w:rsidR="00A86674" w:rsidRPr="009E515B" w:rsidRDefault="00A86674" w:rsidP="00A86674">
            <w:pPr>
              <w:rPr>
                <w:rFonts w:ascii="Arial" w:hAnsi="Arial" w:cs="Arial"/>
                <w:b/>
                <w:bCs/>
                <w:sz w:val="24"/>
                <w:szCs w:val="24"/>
              </w:rPr>
            </w:pPr>
          </w:p>
          <w:p w14:paraId="7E96E5B1" w14:textId="77777777" w:rsidR="00A86674" w:rsidRPr="009E515B" w:rsidRDefault="00A86674" w:rsidP="00A86674">
            <w:pPr>
              <w:rPr>
                <w:rFonts w:ascii="Arial" w:hAnsi="Arial" w:cs="Arial"/>
                <w:sz w:val="24"/>
                <w:szCs w:val="24"/>
              </w:rPr>
            </w:pPr>
            <w:r w:rsidRPr="009E515B">
              <w:rPr>
                <w:rFonts w:ascii="Arial" w:hAnsi="Arial" w:cs="Arial"/>
                <w:sz w:val="24"/>
                <w:szCs w:val="24"/>
              </w:rPr>
              <w:t xml:space="preserve">The </w:t>
            </w:r>
            <w:proofErr w:type="gramStart"/>
            <w:r w:rsidRPr="009E515B">
              <w:rPr>
                <w:rFonts w:ascii="Arial" w:hAnsi="Arial" w:cs="Arial"/>
                <w:sz w:val="24"/>
                <w:szCs w:val="24"/>
              </w:rPr>
              <w:t>30 day</w:t>
            </w:r>
            <w:proofErr w:type="gramEnd"/>
            <w:r w:rsidRPr="009E515B">
              <w:rPr>
                <w:rFonts w:ascii="Arial" w:hAnsi="Arial" w:cs="Arial"/>
                <w:sz w:val="24"/>
                <w:szCs w:val="24"/>
              </w:rPr>
              <w:t xml:space="preserve"> timeframe for corrections is consistent with the timeframe for minor violations. </w:t>
            </w:r>
          </w:p>
          <w:p w14:paraId="1B18B719" w14:textId="77777777" w:rsidR="00A86674" w:rsidRPr="009E515B" w:rsidRDefault="00A86674" w:rsidP="00A86674">
            <w:pPr>
              <w:rPr>
                <w:rFonts w:ascii="Arial" w:hAnsi="Arial" w:cs="Arial"/>
                <w:sz w:val="24"/>
                <w:szCs w:val="24"/>
              </w:rPr>
            </w:pPr>
          </w:p>
          <w:p w14:paraId="06EDBB45" w14:textId="339DAA43" w:rsidR="00A86674" w:rsidRPr="009E515B" w:rsidRDefault="00A86674" w:rsidP="00A86674">
            <w:pPr>
              <w:rPr>
                <w:rFonts w:ascii="Arial" w:hAnsi="Arial" w:cs="Arial"/>
                <w:sz w:val="24"/>
                <w:szCs w:val="24"/>
              </w:rPr>
            </w:pPr>
            <w:r w:rsidRPr="009E515B">
              <w:rPr>
                <w:rFonts w:ascii="Arial" w:hAnsi="Arial" w:cs="Arial"/>
                <w:sz w:val="24"/>
                <w:szCs w:val="24"/>
              </w:rPr>
              <w:t>(d) Tank facilities that meet the exemption conditions 25270.4.5 are not required to prepare and implement an SPCC plan under APSA. Therefore, while these facilities maintain the requirements for conditional status, the requirements for compliance with SPCC Plan requirements do not apply.</w:t>
            </w:r>
          </w:p>
        </w:tc>
      </w:tr>
      <w:tr w:rsidR="00A86674" w:rsidRPr="009E515B" w14:paraId="149D0DE7" w14:textId="6CB2F521" w:rsidTr="00A86674">
        <w:trPr>
          <w:trHeight w:val="350"/>
        </w:trPr>
        <w:tc>
          <w:tcPr>
            <w:tcW w:w="1440" w:type="dxa"/>
          </w:tcPr>
          <w:p w14:paraId="674B73DA" w14:textId="77777777" w:rsidR="00A86674" w:rsidRPr="009E515B" w:rsidRDefault="00A86674" w:rsidP="00A86674">
            <w:pPr>
              <w:rPr>
                <w:rFonts w:ascii="Arial" w:eastAsia="Times New Roman" w:hAnsi="Arial" w:cs="Arial"/>
                <w:b/>
                <w:bCs/>
                <w:sz w:val="24"/>
                <w:szCs w:val="24"/>
              </w:rPr>
            </w:pPr>
            <w:r w:rsidRPr="009E515B">
              <w:rPr>
                <w:rFonts w:ascii="Arial" w:hAnsi="Arial" w:cs="Arial"/>
                <w:sz w:val="24"/>
                <w:szCs w:val="24"/>
              </w:rPr>
              <w:br w:type="textWrapping" w:clear="all"/>
            </w:r>
            <w:r w:rsidRPr="009E515B">
              <w:rPr>
                <w:rFonts w:ascii="Arial" w:hAnsi="Arial" w:cs="Arial"/>
                <w:sz w:val="24"/>
                <w:szCs w:val="24"/>
              </w:rPr>
              <w:br w:type="page"/>
            </w:r>
            <w:hyperlink r:id="rId28" w:history="1">
              <w:r w:rsidRPr="009E515B">
                <w:rPr>
                  <w:rStyle w:val="Hyperlink"/>
                  <w:rFonts w:ascii="Arial" w:eastAsia="Times New Roman" w:hAnsi="Arial" w:cs="Arial"/>
                  <w:b/>
                  <w:bCs/>
                  <w:color w:val="auto"/>
                  <w:sz w:val="24"/>
                  <w:szCs w:val="24"/>
                  <w:bdr w:val="none" w:sz="0" w:space="0" w:color="auto" w:frame="1"/>
                </w:rPr>
                <w:t>25270.9.</w:t>
              </w:r>
            </w:hyperlink>
          </w:p>
          <w:p w14:paraId="6F9BC8A1" w14:textId="77777777" w:rsidR="00A86674" w:rsidRPr="009E515B" w:rsidRDefault="00A86674" w:rsidP="00A86674">
            <w:pPr>
              <w:rPr>
                <w:rFonts w:ascii="Arial" w:hAnsi="Arial" w:cs="Arial"/>
                <w:sz w:val="24"/>
                <w:szCs w:val="24"/>
              </w:rPr>
            </w:pPr>
          </w:p>
        </w:tc>
        <w:tc>
          <w:tcPr>
            <w:tcW w:w="8640" w:type="dxa"/>
          </w:tcPr>
          <w:p w14:paraId="5AAFE1F4" w14:textId="77777777" w:rsidR="00A86674" w:rsidRPr="009E515B" w:rsidRDefault="00A86674" w:rsidP="00A86674">
            <w:pPr>
              <w:rPr>
                <w:rFonts w:ascii="Arial" w:hAnsi="Arial" w:cs="Arial"/>
                <w:b/>
                <w:bCs/>
                <w:sz w:val="24"/>
                <w:szCs w:val="24"/>
              </w:rPr>
            </w:pPr>
          </w:p>
          <w:p w14:paraId="1BA8A2F6" w14:textId="4DE66807" w:rsidR="00A86674" w:rsidRPr="009E515B" w:rsidRDefault="008B6F7E" w:rsidP="008B6F7E">
            <w:pPr>
              <w:rPr>
                <w:rFonts w:ascii="Arial" w:hAnsi="Arial" w:cs="Arial"/>
                <w:b/>
                <w:bCs/>
                <w:sz w:val="24"/>
                <w:szCs w:val="24"/>
              </w:rPr>
            </w:pPr>
            <w:r w:rsidRPr="009E515B">
              <w:rPr>
                <w:rFonts w:ascii="Arial" w:hAnsi="Arial" w:cs="Arial"/>
                <w:b/>
                <w:bCs/>
                <w:sz w:val="24"/>
                <w:szCs w:val="24"/>
              </w:rPr>
              <w:t>Notify the Regional Water Quality Control Board</w:t>
            </w:r>
          </w:p>
          <w:p w14:paraId="7B99EF8F" w14:textId="4299A701" w:rsidR="00A86674" w:rsidRPr="009E515B" w:rsidRDefault="00A86674" w:rsidP="00A86674">
            <w:pPr>
              <w:rPr>
                <w:rFonts w:ascii="Arial" w:hAnsi="Arial" w:cs="Arial"/>
                <w:sz w:val="24"/>
                <w:szCs w:val="24"/>
              </w:rPr>
            </w:pPr>
            <w:r w:rsidRPr="009E515B">
              <w:rPr>
                <w:rFonts w:ascii="Arial" w:hAnsi="Arial" w:cs="Arial"/>
                <w:sz w:val="24"/>
                <w:szCs w:val="24"/>
              </w:rPr>
              <w:t>Health and Safety Code 25270.9 details the responsibility for cleanup efforts, but does not specify that UPAs notify the Regional Water Quality Control Board to initiate this process. This regulation is required to provide UPAs clear guidance in the case of a spill or leak, or suspected spill or leak.</w:t>
            </w:r>
          </w:p>
        </w:tc>
      </w:tr>
      <w:tr w:rsidR="00A86674" w:rsidRPr="009E515B" w14:paraId="7264A00F" w14:textId="5C4777CA" w:rsidTr="00A86674">
        <w:trPr>
          <w:trHeight w:val="350"/>
        </w:trPr>
        <w:tc>
          <w:tcPr>
            <w:tcW w:w="1440" w:type="dxa"/>
          </w:tcPr>
          <w:p w14:paraId="3F8A59C4" w14:textId="77777777" w:rsidR="00A86674" w:rsidRPr="009E515B" w:rsidRDefault="003F74CA" w:rsidP="00A86674">
            <w:pPr>
              <w:rPr>
                <w:rFonts w:ascii="Arial" w:eastAsia="Times New Roman" w:hAnsi="Arial" w:cs="Arial"/>
                <w:b/>
                <w:bCs/>
                <w:sz w:val="24"/>
                <w:szCs w:val="24"/>
              </w:rPr>
            </w:pPr>
            <w:hyperlink r:id="rId29" w:history="1">
              <w:r w:rsidR="00A86674" w:rsidRPr="009E515B">
                <w:rPr>
                  <w:rStyle w:val="Hyperlink"/>
                  <w:rFonts w:ascii="Arial" w:eastAsia="Times New Roman" w:hAnsi="Arial" w:cs="Arial"/>
                  <w:b/>
                  <w:bCs/>
                  <w:color w:val="auto"/>
                  <w:sz w:val="24"/>
                  <w:szCs w:val="24"/>
                  <w:bdr w:val="none" w:sz="0" w:space="0" w:color="auto" w:frame="1"/>
                </w:rPr>
                <w:t>25270.12.</w:t>
              </w:r>
            </w:hyperlink>
          </w:p>
          <w:p w14:paraId="607ED4E9" w14:textId="77777777" w:rsidR="00A86674" w:rsidRPr="009E515B" w:rsidRDefault="00A86674" w:rsidP="00A86674">
            <w:pPr>
              <w:rPr>
                <w:rFonts w:ascii="Arial" w:hAnsi="Arial" w:cs="Arial"/>
                <w:sz w:val="24"/>
                <w:szCs w:val="24"/>
              </w:rPr>
            </w:pPr>
          </w:p>
        </w:tc>
        <w:tc>
          <w:tcPr>
            <w:tcW w:w="8640" w:type="dxa"/>
          </w:tcPr>
          <w:p w14:paraId="2E5DB495" w14:textId="3804D344" w:rsidR="00A86674" w:rsidRPr="009E515B" w:rsidRDefault="008B6F7E" w:rsidP="008B6F7E">
            <w:pPr>
              <w:spacing w:after="160" w:line="259" w:lineRule="auto"/>
              <w:contextualSpacing/>
              <w:rPr>
                <w:rFonts w:ascii="Arial" w:hAnsi="Arial" w:cs="Arial"/>
                <w:b/>
                <w:bCs/>
                <w:sz w:val="24"/>
                <w:szCs w:val="24"/>
              </w:rPr>
            </w:pPr>
            <w:r w:rsidRPr="009E515B">
              <w:rPr>
                <w:rFonts w:ascii="Arial" w:hAnsi="Arial" w:cs="Arial"/>
                <w:b/>
                <w:bCs/>
                <w:sz w:val="24"/>
                <w:szCs w:val="24"/>
              </w:rPr>
              <w:t>Non-Compliant Tanks</w:t>
            </w:r>
          </w:p>
          <w:p w14:paraId="5BE5714C" w14:textId="77777777" w:rsidR="00A86674" w:rsidRPr="009E515B" w:rsidRDefault="00A86674" w:rsidP="00A86674">
            <w:pPr>
              <w:rPr>
                <w:rFonts w:ascii="Arial" w:hAnsi="Arial" w:cs="Arial"/>
                <w:sz w:val="24"/>
                <w:szCs w:val="24"/>
              </w:rPr>
            </w:pPr>
            <w:r w:rsidRPr="009E515B">
              <w:rPr>
                <w:rFonts w:ascii="Arial" w:hAnsi="Arial" w:cs="Arial"/>
                <w:sz w:val="24"/>
                <w:szCs w:val="24"/>
              </w:rPr>
              <w:t xml:space="preserve">Increased use and availability of storage tanks that are unsafe. </w:t>
            </w:r>
          </w:p>
          <w:p w14:paraId="0C386128" w14:textId="77777777" w:rsidR="00A86674" w:rsidRPr="009E515B" w:rsidRDefault="00A86674" w:rsidP="00A86674">
            <w:pPr>
              <w:rPr>
                <w:rFonts w:ascii="Arial" w:hAnsi="Arial" w:cs="Arial"/>
                <w:sz w:val="24"/>
                <w:szCs w:val="24"/>
              </w:rPr>
            </w:pPr>
          </w:p>
          <w:p w14:paraId="69F3E843" w14:textId="77777777" w:rsidR="00A86674" w:rsidRPr="009E515B" w:rsidRDefault="00A86674" w:rsidP="00A86674">
            <w:pPr>
              <w:rPr>
                <w:rFonts w:ascii="Arial" w:hAnsi="Arial" w:cs="Arial"/>
                <w:sz w:val="24"/>
                <w:szCs w:val="24"/>
              </w:rPr>
            </w:pPr>
            <w:r w:rsidRPr="009E515B">
              <w:rPr>
                <w:rFonts w:ascii="Arial" w:hAnsi="Arial" w:cs="Arial"/>
                <w:sz w:val="24"/>
                <w:szCs w:val="24"/>
              </w:rPr>
              <w:t xml:space="preserve">These tanks are highly technical. Provide education for stakeholders to easily recognize most common problem tanks without needing additional technical education. </w:t>
            </w:r>
          </w:p>
          <w:p w14:paraId="687C4463" w14:textId="77777777" w:rsidR="00A86674" w:rsidRPr="009E515B" w:rsidRDefault="00A86674" w:rsidP="00A86674">
            <w:pPr>
              <w:rPr>
                <w:rFonts w:ascii="Arial" w:hAnsi="Arial" w:cs="Arial"/>
                <w:sz w:val="24"/>
                <w:szCs w:val="24"/>
              </w:rPr>
            </w:pPr>
          </w:p>
          <w:p w14:paraId="02588620" w14:textId="77777777" w:rsidR="00A86674" w:rsidRPr="009E515B" w:rsidRDefault="00A86674" w:rsidP="00A86674">
            <w:pPr>
              <w:rPr>
                <w:rFonts w:ascii="Arial" w:hAnsi="Arial" w:cs="Arial"/>
                <w:sz w:val="24"/>
                <w:szCs w:val="24"/>
              </w:rPr>
            </w:pPr>
            <w:r w:rsidRPr="009E515B">
              <w:rPr>
                <w:rFonts w:ascii="Arial" w:hAnsi="Arial" w:cs="Arial"/>
                <w:sz w:val="24"/>
                <w:szCs w:val="24"/>
              </w:rPr>
              <w:lastRenderedPageBreak/>
              <w:t>a) It is the intent of this section to clearly outline the types and characteristics of storage tanks which are non-compliant and therefore prohibited for use as Aboveground Storage Tanks, and the penalties for use of non-compliant storage tanks.</w:t>
            </w:r>
          </w:p>
          <w:p w14:paraId="191E2C47" w14:textId="77777777" w:rsidR="00A86674" w:rsidRPr="009E515B" w:rsidRDefault="00A86674" w:rsidP="00A86674">
            <w:pPr>
              <w:rPr>
                <w:rFonts w:ascii="Arial" w:hAnsi="Arial" w:cs="Arial"/>
                <w:sz w:val="24"/>
                <w:szCs w:val="24"/>
              </w:rPr>
            </w:pPr>
            <w:r w:rsidRPr="009E515B">
              <w:rPr>
                <w:rFonts w:ascii="Arial" w:hAnsi="Arial" w:cs="Arial"/>
                <w:sz w:val="24"/>
                <w:szCs w:val="24"/>
              </w:rPr>
              <w:t>(1) A key concern is storage tanks which are repurposed or utilized for the standards that they are not designed or fabricated for.</w:t>
            </w:r>
          </w:p>
          <w:p w14:paraId="3595718B" w14:textId="77777777" w:rsidR="00A86674" w:rsidRPr="009E515B" w:rsidRDefault="00A86674" w:rsidP="00A86674">
            <w:pPr>
              <w:rPr>
                <w:rFonts w:ascii="Arial" w:hAnsi="Arial" w:cs="Arial"/>
                <w:sz w:val="24"/>
                <w:szCs w:val="24"/>
              </w:rPr>
            </w:pPr>
            <w:r w:rsidRPr="009E515B">
              <w:rPr>
                <w:rFonts w:ascii="Arial" w:hAnsi="Arial" w:cs="Arial"/>
                <w:sz w:val="24"/>
                <w:szCs w:val="24"/>
              </w:rPr>
              <w:t>(2) Information reported to the Office of the State Fire Marshal indicates that a variety of storage tanks are marketed or available for sale as Aboveground Storage Tanks; however, these tanks do not meet minimum standards for Aboveground Storage Tanks.</w:t>
            </w:r>
          </w:p>
          <w:p w14:paraId="4131B27E" w14:textId="77777777" w:rsidR="00A86674" w:rsidRPr="009E515B" w:rsidRDefault="00A86674" w:rsidP="00A86674">
            <w:pPr>
              <w:rPr>
                <w:rFonts w:ascii="Arial" w:hAnsi="Arial" w:cs="Arial"/>
                <w:sz w:val="24"/>
                <w:szCs w:val="24"/>
              </w:rPr>
            </w:pPr>
            <w:r w:rsidRPr="009E515B">
              <w:rPr>
                <w:rFonts w:ascii="Arial" w:hAnsi="Arial" w:cs="Arial"/>
                <w:sz w:val="24"/>
                <w:szCs w:val="24"/>
              </w:rPr>
              <w:t>(3) Health and Safety Code Section Number 25292.05, SB 445 (Hill, Chapter 547, Statutes of 2014), requires that some types of Underground Storage Tanks are retired from use by December 31, 2025. It is anticipated that upon removal, many of these Underground Storage Tanks will be offered for sale as Aboveground Storage Tanks.</w:t>
            </w:r>
          </w:p>
          <w:p w14:paraId="61361C5A" w14:textId="77777777" w:rsidR="00A86674" w:rsidRPr="009E515B" w:rsidRDefault="00A86674" w:rsidP="00A86674">
            <w:pPr>
              <w:rPr>
                <w:rFonts w:ascii="Arial" w:hAnsi="Arial" w:cs="Arial"/>
                <w:b/>
                <w:bCs/>
                <w:sz w:val="24"/>
                <w:szCs w:val="24"/>
                <w:highlight w:val="yellow"/>
              </w:rPr>
            </w:pPr>
          </w:p>
          <w:p w14:paraId="73EA945D" w14:textId="77777777" w:rsidR="00A86674" w:rsidRPr="009E515B" w:rsidRDefault="00A86674" w:rsidP="00A86674">
            <w:pPr>
              <w:rPr>
                <w:rFonts w:ascii="Arial" w:hAnsi="Arial" w:cs="Arial"/>
                <w:sz w:val="24"/>
                <w:szCs w:val="24"/>
              </w:rPr>
            </w:pPr>
            <w:r w:rsidRPr="009E515B">
              <w:rPr>
                <w:rFonts w:ascii="Arial" w:hAnsi="Arial" w:cs="Arial"/>
                <w:sz w:val="24"/>
                <w:szCs w:val="24"/>
              </w:rPr>
              <w:t>Rationale-</w:t>
            </w:r>
          </w:p>
          <w:p w14:paraId="094AB4AA" w14:textId="77777777" w:rsidR="00A86674" w:rsidRPr="009E515B" w:rsidRDefault="00A86674" w:rsidP="00A86674">
            <w:pPr>
              <w:rPr>
                <w:rFonts w:ascii="Arial" w:hAnsi="Arial" w:cs="Arial"/>
                <w:sz w:val="24"/>
                <w:szCs w:val="24"/>
              </w:rPr>
            </w:pPr>
            <w:r w:rsidRPr="009E515B">
              <w:rPr>
                <w:rFonts w:ascii="Arial" w:hAnsi="Arial" w:cs="Arial"/>
                <w:sz w:val="24"/>
                <w:szCs w:val="24"/>
              </w:rPr>
              <w:t xml:space="preserve">Plain language explanation for use by directly affected. Consistent with industry best practices. </w:t>
            </w:r>
          </w:p>
          <w:p w14:paraId="3476395E" w14:textId="77777777" w:rsidR="00A86674" w:rsidRPr="009E515B" w:rsidRDefault="00A86674" w:rsidP="00A86674">
            <w:pPr>
              <w:rPr>
                <w:rFonts w:ascii="Arial" w:hAnsi="Arial" w:cs="Arial"/>
                <w:sz w:val="24"/>
                <w:szCs w:val="24"/>
              </w:rPr>
            </w:pPr>
          </w:p>
          <w:p w14:paraId="567E93D0" w14:textId="1A8B5B73" w:rsidR="00A86674" w:rsidRPr="009E515B" w:rsidRDefault="00A86674" w:rsidP="00A86674">
            <w:pPr>
              <w:rPr>
                <w:rFonts w:ascii="Arial" w:hAnsi="Arial" w:cs="Arial"/>
                <w:b/>
                <w:bCs/>
                <w:sz w:val="24"/>
                <w:szCs w:val="24"/>
              </w:rPr>
            </w:pPr>
            <w:r w:rsidRPr="009E515B">
              <w:rPr>
                <w:rFonts w:ascii="Arial" w:hAnsi="Arial" w:cs="Arial"/>
                <w:sz w:val="24"/>
                <w:szCs w:val="24"/>
              </w:rPr>
              <w:t>Purpose- include plain language descriptions and common types of easily recognizable non</w:t>
            </w:r>
            <w:r w:rsidR="00BF5A48" w:rsidRPr="009E515B">
              <w:rPr>
                <w:rFonts w:ascii="Arial" w:hAnsi="Arial" w:cs="Arial"/>
                <w:sz w:val="24"/>
                <w:szCs w:val="24"/>
              </w:rPr>
              <w:t>-</w:t>
            </w:r>
            <w:r w:rsidRPr="009E515B">
              <w:rPr>
                <w:rFonts w:ascii="Arial" w:hAnsi="Arial" w:cs="Arial"/>
                <w:sz w:val="24"/>
                <w:szCs w:val="24"/>
              </w:rPr>
              <w:t xml:space="preserve">compliant tanks to support stakeholders having the tool to easily </w:t>
            </w:r>
            <w:proofErr w:type="gramStart"/>
            <w:r w:rsidRPr="009E515B">
              <w:rPr>
                <w:rFonts w:ascii="Arial" w:hAnsi="Arial" w:cs="Arial"/>
                <w:sz w:val="24"/>
                <w:szCs w:val="24"/>
              </w:rPr>
              <w:t>recognize</w:t>
            </w:r>
            <w:proofErr w:type="gramEnd"/>
            <w:r w:rsidRPr="009E515B">
              <w:rPr>
                <w:rFonts w:ascii="Arial" w:hAnsi="Arial" w:cs="Arial"/>
                <w:b/>
                <w:bCs/>
                <w:sz w:val="24"/>
                <w:szCs w:val="24"/>
              </w:rPr>
              <w:t xml:space="preserve">  </w:t>
            </w:r>
          </w:p>
          <w:p w14:paraId="0EC5BA4E" w14:textId="77777777" w:rsidR="008B6F7E" w:rsidRPr="009E515B" w:rsidRDefault="008B6F7E" w:rsidP="00A86674">
            <w:pPr>
              <w:rPr>
                <w:rFonts w:ascii="Arial" w:hAnsi="Arial" w:cs="Arial"/>
                <w:b/>
                <w:bCs/>
                <w:sz w:val="24"/>
                <w:szCs w:val="24"/>
              </w:rPr>
            </w:pPr>
          </w:p>
          <w:p w14:paraId="2C8D0F0E" w14:textId="50F9808E" w:rsidR="008B6F7E" w:rsidRPr="009E515B" w:rsidRDefault="008B6F7E" w:rsidP="00A86674">
            <w:pPr>
              <w:rPr>
                <w:rFonts w:ascii="Arial" w:hAnsi="Arial" w:cs="Arial"/>
                <w:b/>
                <w:bCs/>
                <w:sz w:val="24"/>
                <w:szCs w:val="24"/>
              </w:rPr>
            </w:pPr>
          </w:p>
        </w:tc>
      </w:tr>
    </w:tbl>
    <w:p w14:paraId="057F741C" w14:textId="77777777" w:rsidR="001C6427" w:rsidRPr="009E515B" w:rsidRDefault="001C6427" w:rsidP="006E3B43">
      <w:pPr>
        <w:rPr>
          <w:rFonts w:ascii="Arial" w:hAnsi="Arial" w:cs="Arial"/>
          <w:sz w:val="24"/>
          <w:szCs w:val="24"/>
        </w:rPr>
      </w:pPr>
    </w:p>
    <w:sectPr w:rsidR="001C6427" w:rsidRPr="009E515B" w:rsidSect="00A86674">
      <w:headerReference w:type="default" r:id="rId3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F370" w14:textId="77777777" w:rsidR="00CD0976" w:rsidRDefault="00CD0976" w:rsidP="008633F3">
      <w:pPr>
        <w:spacing w:after="0" w:line="240" w:lineRule="auto"/>
      </w:pPr>
      <w:r>
        <w:separator/>
      </w:r>
    </w:p>
  </w:endnote>
  <w:endnote w:type="continuationSeparator" w:id="0">
    <w:p w14:paraId="5D4A178A" w14:textId="77777777" w:rsidR="00CD0976" w:rsidRDefault="00CD0976" w:rsidP="0086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7408" w14:textId="77777777" w:rsidR="00CD0976" w:rsidRDefault="00CD0976" w:rsidP="008633F3">
      <w:pPr>
        <w:spacing w:after="0" w:line="240" w:lineRule="auto"/>
      </w:pPr>
      <w:r>
        <w:separator/>
      </w:r>
    </w:p>
  </w:footnote>
  <w:footnote w:type="continuationSeparator" w:id="0">
    <w:p w14:paraId="498517F3" w14:textId="77777777" w:rsidR="00CD0976" w:rsidRDefault="00CD0976" w:rsidP="00863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65C1" w14:textId="0D966608" w:rsidR="008633F3" w:rsidRDefault="003F74CA">
    <w:pPr>
      <w:pStyle w:val="Header"/>
      <w:jc w:val="right"/>
    </w:pPr>
    <w:sdt>
      <w:sdtPr>
        <w:id w:val="1134602452"/>
        <w:docPartObj>
          <w:docPartGallery w:val="Watermarks"/>
          <w:docPartUnique/>
        </w:docPartObj>
      </w:sdtPr>
      <w:sdtEndPr/>
      <w:sdtContent>
        <w:r>
          <w:rPr>
            <w:noProof/>
          </w:rPr>
          <w:pict w14:anchorId="6933F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59890079"/>
        <w:docPartObj>
          <w:docPartGallery w:val="Page Numbers (Top of Page)"/>
          <w:docPartUnique/>
        </w:docPartObj>
      </w:sdtPr>
      <w:sdtEndPr>
        <w:rPr>
          <w:noProof/>
        </w:rPr>
      </w:sdtEndPr>
      <w:sdtContent>
        <w:r w:rsidR="00040685">
          <w:t xml:space="preserve"> APSA Regulations ISOR </w:t>
        </w:r>
        <w:r w:rsidR="00A00738">
          <w:t>26</w:t>
        </w:r>
        <w:r w:rsidR="00040685">
          <w:t xml:space="preserve">      </w:t>
        </w:r>
        <w:r w:rsidR="008633F3">
          <w:fldChar w:fldCharType="begin"/>
        </w:r>
        <w:r w:rsidR="008633F3">
          <w:instrText xml:space="preserve"> PAGE   \* MERGEFORMAT </w:instrText>
        </w:r>
        <w:r w:rsidR="008633F3">
          <w:fldChar w:fldCharType="separate"/>
        </w:r>
        <w:r w:rsidR="008633F3">
          <w:rPr>
            <w:noProof/>
          </w:rPr>
          <w:t>2</w:t>
        </w:r>
        <w:r w:rsidR="008633F3">
          <w:rPr>
            <w:noProof/>
          </w:rPr>
          <w:fldChar w:fldCharType="end"/>
        </w:r>
      </w:sdtContent>
    </w:sdt>
  </w:p>
  <w:p w14:paraId="70A7FE70" w14:textId="77777777" w:rsidR="008633F3" w:rsidRDefault="0086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1D9"/>
    <w:multiLevelType w:val="hybridMultilevel"/>
    <w:tmpl w:val="C4EE6CB4"/>
    <w:lvl w:ilvl="0" w:tplc="D5B4EF6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44E1"/>
    <w:multiLevelType w:val="hybridMultilevel"/>
    <w:tmpl w:val="4A0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4502"/>
    <w:multiLevelType w:val="hybridMultilevel"/>
    <w:tmpl w:val="41FE3A76"/>
    <w:lvl w:ilvl="0" w:tplc="C9FC4EFA">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3508A"/>
    <w:multiLevelType w:val="hybridMultilevel"/>
    <w:tmpl w:val="3EDA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E047F"/>
    <w:multiLevelType w:val="hybridMultilevel"/>
    <w:tmpl w:val="74820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715F3"/>
    <w:multiLevelType w:val="hybridMultilevel"/>
    <w:tmpl w:val="3FFAA98E"/>
    <w:lvl w:ilvl="0" w:tplc="CBFE5A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54F54"/>
    <w:multiLevelType w:val="hybridMultilevel"/>
    <w:tmpl w:val="37148462"/>
    <w:lvl w:ilvl="0" w:tplc="C414E54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B4598D"/>
    <w:multiLevelType w:val="hybridMultilevel"/>
    <w:tmpl w:val="8C88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4D90"/>
    <w:multiLevelType w:val="hybridMultilevel"/>
    <w:tmpl w:val="99FA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C55D22"/>
    <w:multiLevelType w:val="hybridMultilevel"/>
    <w:tmpl w:val="66CACA4E"/>
    <w:lvl w:ilvl="0" w:tplc="61C4F172">
      <w:start w:val="12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0032C"/>
    <w:multiLevelType w:val="hybridMultilevel"/>
    <w:tmpl w:val="09B6FED2"/>
    <w:lvl w:ilvl="0" w:tplc="04090011">
      <w:start w:val="1"/>
      <w:numFmt w:val="decimal"/>
      <w:lvlText w:val="%1)"/>
      <w:lvlJc w:val="left"/>
      <w:pPr>
        <w:ind w:left="720" w:hanging="360"/>
      </w:pPr>
    </w:lvl>
    <w:lvl w:ilvl="1" w:tplc="424A64B4">
      <w:numFmt w:val="bullet"/>
      <w:lvlText w:val=""/>
      <w:lvlJc w:val="left"/>
      <w:pPr>
        <w:ind w:left="1440" w:hanging="360"/>
      </w:pPr>
      <w:rPr>
        <w:rFonts w:ascii="Wingdings" w:eastAsiaTheme="minorHAnsi" w:hAnsi="Wingding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75EEA"/>
    <w:multiLevelType w:val="hybridMultilevel"/>
    <w:tmpl w:val="F35A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956A3"/>
    <w:multiLevelType w:val="multilevel"/>
    <w:tmpl w:val="09484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9A244B0"/>
    <w:multiLevelType w:val="hybridMultilevel"/>
    <w:tmpl w:val="62B64202"/>
    <w:lvl w:ilvl="0" w:tplc="77B82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25174"/>
    <w:multiLevelType w:val="hybridMultilevel"/>
    <w:tmpl w:val="B462A8C6"/>
    <w:lvl w:ilvl="0" w:tplc="906AA6DC">
      <w:start w:val="1"/>
      <w:numFmt w:val="upperLetter"/>
      <w:lvlText w:val="%1."/>
      <w:lvlJc w:val="left"/>
      <w:pPr>
        <w:ind w:left="720" w:hanging="360"/>
      </w:pPr>
      <w:rPr>
        <w:rFonts w:ascii="Arial" w:hAnsi="Arial" w:cs="Arial" w:hint="default"/>
        <w:color w:val="4472C4" w:themeColor="accent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27EFC"/>
    <w:multiLevelType w:val="hybridMultilevel"/>
    <w:tmpl w:val="ADD65730"/>
    <w:lvl w:ilvl="0" w:tplc="C32AB650">
      <w:start w:val="1"/>
      <w:numFmt w:val="upperLetter"/>
      <w:lvlText w:val="%1."/>
      <w:lvlJc w:val="left"/>
      <w:pPr>
        <w:ind w:left="720" w:hanging="360"/>
      </w:pPr>
      <w:rPr>
        <w:rFonts w:ascii="Arial" w:hAnsi="Arial"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90B24"/>
    <w:multiLevelType w:val="hybridMultilevel"/>
    <w:tmpl w:val="264E0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553734">
    <w:abstractNumId w:val="10"/>
  </w:num>
  <w:num w:numId="2" w16cid:durableId="1864434652">
    <w:abstractNumId w:val="16"/>
  </w:num>
  <w:num w:numId="3" w16cid:durableId="495344535">
    <w:abstractNumId w:val="13"/>
  </w:num>
  <w:num w:numId="4" w16cid:durableId="286400983">
    <w:abstractNumId w:val="1"/>
  </w:num>
  <w:num w:numId="5" w16cid:durableId="921135536">
    <w:abstractNumId w:val="8"/>
  </w:num>
  <w:num w:numId="6" w16cid:durableId="1301230550">
    <w:abstractNumId w:val="5"/>
  </w:num>
  <w:num w:numId="7" w16cid:durableId="851602000">
    <w:abstractNumId w:val="8"/>
  </w:num>
  <w:num w:numId="8" w16cid:durableId="1955163991">
    <w:abstractNumId w:val="4"/>
  </w:num>
  <w:num w:numId="9" w16cid:durableId="1051929256">
    <w:abstractNumId w:val="7"/>
  </w:num>
  <w:num w:numId="10" w16cid:durableId="1467577610">
    <w:abstractNumId w:val="11"/>
  </w:num>
  <w:num w:numId="11" w16cid:durableId="1261447722">
    <w:abstractNumId w:val="14"/>
  </w:num>
  <w:num w:numId="12" w16cid:durableId="60911679">
    <w:abstractNumId w:val="15"/>
  </w:num>
  <w:num w:numId="13" w16cid:durableId="13963923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0962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1964832">
    <w:abstractNumId w:val="9"/>
  </w:num>
  <w:num w:numId="16" w16cid:durableId="1644197273">
    <w:abstractNumId w:val="3"/>
  </w:num>
  <w:num w:numId="17" w16cid:durableId="181743306">
    <w:abstractNumId w:val="6"/>
  </w:num>
  <w:num w:numId="18" w16cid:durableId="1698658471">
    <w:abstractNumId w:val="0"/>
  </w:num>
  <w:num w:numId="19" w16cid:durableId="190456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l/hv0xbhL4DXAcJ+rFgZwIVJnbi7ez0VSEiJoIOlr24pwsAUH2Pfjg/80YuDJbdkGsRTdQMGM20n4qVJyuIjhw==" w:salt="jnCPhwRlVtvIfaYoJ6K6w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7B"/>
    <w:rsid w:val="000027AA"/>
    <w:rsid w:val="00002F49"/>
    <w:rsid w:val="00010285"/>
    <w:rsid w:val="0001180F"/>
    <w:rsid w:val="00022574"/>
    <w:rsid w:val="00022C6E"/>
    <w:rsid w:val="00023B0B"/>
    <w:rsid w:val="00032FCB"/>
    <w:rsid w:val="000336E0"/>
    <w:rsid w:val="000340FB"/>
    <w:rsid w:val="000345A3"/>
    <w:rsid w:val="00034D00"/>
    <w:rsid w:val="00040685"/>
    <w:rsid w:val="0004418F"/>
    <w:rsid w:val="0005147E"/>
    <w:rsid w:val="000568FF"/>
    <w:rsid w:val="00064CAD"/>
    <w:rsid w:val="00066057"/>
    <w:rsid w:val="00066BC4"/>
    <w:rsid w:val="00072B87"/>
    <w:rsid w:val="000758D9"/>
    <w:rsid w:val="00077E4A"/>
    <w:rsid w:val="00083C6E"/>
    <w:rsid w:val="00085192"/>
    <w:rsid w:val="000863F9"/>
    <w:rsid w:val="00091544"/>
    <w:rsid w:val="00096186"/>
    <w:rsid w:val="000A64F3"/>
    <w:rsid w:val="000A6BE9"/>
    <w:rsid w:val="000B13B5"/>
    <w:rsid w:val="000C2639"/>
    <w:rsid w:val="000C6D27"/>
    <w:rsid w:val="000D4C63"/>
    <w:rsid w:val="000D4EC8"/>
    <w:rsid w:val="000E6DB6"/>
    <w:rsid w:val="000F19B4"/>
    <w:rsid w:val="000F38CE"/>
    <w:rsid w:val="000F4C0B"/>
    <w:rsid w:val="000F4E88"/>
    <w:rsid w:val="000F5474"/>
    <w:rsid w:val="00102CAE"/>
    <w:rsid w:val="00107B77"/>
    <w:rsid w:val="00110EC4"/>
    <w:rsid w:val="0011379E"/>
    <w:rsid w:val="00117929"/>
    <w:rsid w:val="001223BC"/>
    <w:rsid w:val="00127974"/>
    <w:rsid w:val="001349E3"/>
    <w:rsid w:val="0014040A"/>
    <w:rsid w:val="00144FE0"/>
    <w:rsid w:val="00145686"/>
    <w:rsid w:val="00151CA1"/>
    <w:rsid w:val="001571EE"/>
    <w:rsid w:val="0016392F"/>
    <w:rsid w:val="00164787"/>
    <w:rsid w:val="00166871"/>
    <w:rsid w:val="00166D50"/>
    <w:rsid w:val="0017052D"/>
    <w:rsid w:val="00170687"/>
    <w:rsid w:val="001707B2"/>
    <w:rsid w:val="00174273"/>
    <w:rsid w:val="001760A7"/>
    <w:rsid w:val="001808D3"/>
    <w:rsid w:val="001818DF"/>
    <w:rsid w:val="00181FD4"/>
    <w:rsid w:val="001830AD"/>
    <w:rsid w:val="001834FC"/>
    <w:rsid w:val="00183F9B"/>
    <w:rsid w:val="00191AF3"/>
    <w:rsid w:val="0019416A"/>
    <w:rsid w:val="001A5992"/>
    <w:rsid w:val="001A7A13"/>
    <w:rsid w:val="001B43AF"/>
    <w:rsid w:val="001C34AA"/>
    <w:rsid w:val="001C5985"/>
    <w:rsid w:val="001C6427"/>
    <w:rsid w:val="001C7F4F"/>
    <w:rsid w:val="001D534D"/>
    <w:rsid w:val="001E16C3"/>
    <w:rsid w:val="001F00D8"/>
    <w:rsid w:val="001F5323"/>
    <w:rsid w:val="001F76C6"/>
    <w:rsid w:val="00201458"/>
    <w:rsid w:val="0020484B"/>
    <w:rsid w:val="002054B5"/>
    <w:rsid w:val="002434A8"/>
    <w:rsid w:val="00262378"/>
    <w:rsid w:val="00264004"/>
    <w:rsid w:val="00270D43"/>
    <w:rsid w:val="00277B3C"/>
    <w:rsid w:val="00282814"/>
    <w:rsid w:val="00290A32"/>
    <w:rsid w:val="00290E33"/>
    <w:rsid w:val="0029109A"/>
    <w:rsid w:val="00291636"/>
    <w:rsid w:val="00294266"/>
    <w:rsid w:val="002968E9"/>
    <w:rsid w:val="002A24FD"/>
    <w:rsid w:val="002A26A9"/>
    <w:rsid w:val="002A4E77"/>
    <w:rsid w:val="002A6022"/>
    <w:rsid w:val="002A69E6"/>
    <w:rsid w:val="002B10A1"/>
    <w:rsid w:val="002B3069"/>
    <w:rsid w:val="002D4E33"/>
    <w:rsid w:val="002E0F46"/>
    <w:rsid w:val="002E1058"/>
    <w:rsid w:val="002F1F1A"/>
    <w:rsid w:val="003021DF"/>
    <w:rsid w:val="0030337B"/>
    <w:rsid w:val="00303EF9"/>
    <w:rsid w:val="00314292"/>
    <w:rsid w:val="00314574"/>
    <w:rsid w:val="00315417"/>
    <w:rsid w:val="0032048E"/>
    <w:rsid w:val="003212D5"/>
    <w:rsid w:val="00323887"/>
    <w:rsid w:val="00327CA4"/>
    <w:rsid w:val="00331AC6"/>
    <w:rsid w:val="00335EBF"/>
    <w:rsid w:val="00346251"/>
    <w:rsid w:val="0035096C"/>
    <w:rsid w:val="0036562C"/>
    <w:rsid w:val="003760E7"/>
    <w:rsid w:val="003850E8"/>
    <w:rsid w:val="003907A8"/>
    <w:rsid w:val="003924E3"/>
    <w:rsid w:val="00397659"/>
    <w:rsid w:val="00397AD6"/>
    <w:rsid w:val="00397DFE"/>
    <w:rsid w:val="003A7B95"/>
    <w:rsid w:val="003B1663"/>
    <w:rsid w:val="003B30FE"/>
    <w:rsid w:val="003B374D"/>
    <w:rsid w:val="003B7305"/>
    <w:rsid w:val="003C0457"/>
    <w:rsid w:val="003C197C"/>
    <w:rsid w:val="003C3724"/>
    <w:rsid w:val="003C4EA2"/>
    <w:rsid w:val="003C5828"/>
    <w:rsid w:val="003E0C74"/>
    <w:rsid w:val="003F0133"/>
    <w:rsid w:val="003F74CA"/>
    <w:rsid w:val="00402F57"/>
    <w:rsid w:val="00420902"/>
    <w:rsid w:val="00421F30"/>
    <w:rsid w:val="004244EA"/>
    <w:rsid w:val="004367E5"/>
    <w:rsid w:val="004441DE"/>
    <w:rsid w:val="004467A6"/>
    <w:rsid w:val="00460622"/>
    <w:rsid w:val="00461359"/>
    <w:rsid w:val="0046290B"/>
    <w:rsid w:val="00464E49"/>
    <w:rsid w:val="004677A1"/>
    <w:rsid w:val="00467B42"/>
    <w:rsid w:val="004750C9"/>
    <w:rsid w:val="004754FA"/>
    <w:rsid w:val="00481B3A"/>
    <w:rsid w:val="00483710"/>
    <w:rsid w:val="0048651F"/>
    <w:rsid w:val="00487DEF"/>
    <w:rsid w:val="004904ED"/>
    <w:rsid w:val="0049536B"/>
    <w:rsid w:val="004A30E9"/>
    <w:rsid w:val="004B0EB1"/>
    <w:rsid w:val="004B5726"/>
    <w:rsid w:val="004B5C4C"/>
    <w:rsid w:val="004C666F"/>
    <w:rsid w:val="004C7D74"/>
    <w:rsid w:val="004D14E0"/>
    <w:rsid w:val="004D4E6B"/>
    <w:rsid w:val="004D7D34"/>
    <w:rsid w:val="004E1BE6"/>
    <w:rsid w:val="00503F43"/>
    <w:rsid w:val="005067C8"/>
    <w:rsid w:val="00513361"/>
    <w:rsid w:val="0052105E"/>
    <w:rsid w:val="00525398"/>
    <w:rsid w:val="00525C0A"/>
    <w:rsid w:val="00526765"/>
    <w:rsid w:val="00541394"/>
    <w:rsid w:val="00542FAB"/>
    <w:rsid w:val="00565425"/>
    <w:rsid w:val="005718FF"/>
    <w:rsid w:val="0057391A"/>
    <w:rsid w:val="005827A5"/>
    <w:rsid w:val="0058377B"/>
    <w:rsid w:val="00597BDC"/>
    <w:rsid w:val="00597EE2"/>
    <w:rsid w:val="005B0514"/>
    <w:rsid w:val="005B23B3"/>
    <w:rsid w:val="005B306F"/>
    <w:rsid w:val="005D3925"/>
    <w:rsid w:val="005D4A94"/>
    <w:rsid w:val="005D6F54"/>
    <w:rsid w:val="005E1E46"/>
    <w:rsid w:val="005F14AD"/>
    <w:rsid w:val="005F1F52"/>
    <w:rsid w:val="005F6D79"/>
    <w:rsid w:val="00600250"/>
    <w:rsid w:val="00610662"/>
    <w:rsid w:val="00611050"/>
    <w:rsid w:val="0061336D"/>
    <w:rsid w:val="00630E47"/>
    <w:rsid w:val="00633D2A"/>
    <w:rsid w:val="00634B23"/>
    <w:rsid w:val="00637F2D"/>
    <w:rsid w:val="00641FF3"/>
    <w:rsid w:val="00643875"/>
    <w:rsid w:val="00643C84"/>
    <w:rsid w:val="0065198F"/>
    <w:rsid w:val="00653374"/>
    <w:rsid w:val="006562FC"/>
    <w:rsid w:val="00656ED1"/>
    <w:rsid w:val="00660A8B"/>
    <w:rsid w:val="006629F8"/>
    <w:rsid w:val="00665751"/>
    <w:rsid w:val="00666529"/>
    <w:rsid w:val="0067152E"/>
    <w:rsid w:val="006732FF"/>
    <w:rsid w:val="00676328"/>
    <w:rsid w:val="00676A15"/>
    <w:rsid w:val="0068643B"/>
    <w:rsid w:val="00687EA5"/>
    <w:rsid w:val="00692BD7"/>
    <w:rsid w:val="006A204D"/>
    <w:rsid w:val="006B483C"/>
    <w:rsid w:val="006B5933"/>
    <w:rsid w:val="006B5A16"/>
    <w:rsid w:val="006B6531"/>
    <w:rsid w:val="006C0BE0"/>
    <w:rsid w:val="006C252B"/>
    <w:rsid w:val="006C321A"/>
    <w:rsid w:val="006E3B43"/>
    <w:rsid w:val="006F32F8"/>
    <w:rsid w:val="006F4B58"/>
    <w:rsid w:val="007040E2"/>
    <w:rsid w:val="007201BC"/>
    <w:rsid w:val="00726C22"/>
    <w:rsid w:val="00756197"/>
    <w:rsid w:val="00762D15"/>
    <w:rsid w:val="007634AE"/>
    <w:rsid w:val="007644AA"/>
    <w:rsid w:val="007701E4"/>
    <w:rsid w:val="0077213F"/>
    <w:rsid w:val="007744F3"/>
    <w:rsid w:val="0077450F"/>
    <w:rsid w:val="00774943"/>
    <w:rsid w:val="007773E4"/>
    <w:rsid w:val="0078262F"/>
    <w:rsid w:val="00783DB8"/>
    <w:rsid w:val="00784ADB"/>
    <w:rsid w:val="007B11F8"/>
    <w:rsid w:val="007B63D2"/>
    <w:rsid w:val="007C0336"/>
    <w:rsid w:val="007C0966"/>
    <w:rsid w:val="007C2EF8"/>
    <w:rsid w:val="007C40A5"/>
    <w:rsid w:val="007D0760"/>
    <w:rsid w:val="007D63DB"/>
    <w:rsid w:val="007F31F0"/>
    <w:rsid w:val="007F3DE1"/>
    <w:rsid w:val="007F430E"/>
    <w:rsid w:val="007F4CAF"/>
    <w:rsid w:val="0080077E"/>
    <w:rsid w:val="0080533C"/>
    <w:rsid w:val="0081203D"/>
    <w:rsid w:val="00831C1F"/>
    <w:rsid w:val="00846D8A"/>
    <w:rsid w:val="00861D04"/>
    <w:rsid w:val="00862B22"/>
    <w:rsid w:val="008633F3"/>
    <w:rsid w:val="00864D34"/>
    <w:rsid w:val="008656E3"/>
    <w:rsid w:val="008675C9"/>
    <w:rsid w:val="00871CC0"/>
    <w:rsid w:val="00872E57"/>
    <w:rsid w:val="00877E9C"/>
    <w:rsid w:val="00890242"/>
    <w:rsid w:val="00891935"/>
    <w:rsid w:val="008A12FE"/>
    <w:rsid w:val="008A1B35"/>
    <w:rsid w:val="008A2815"/>
    <w:rsid w:val="008B02CE"/>
    <w:rsid w:val="008B3BB7"/>
    <w:rsid w:val="008B4B11"/>
    <w:rsid w:val="008B4B83"/>
    <w:rsid w:val="008B6657"/>
    <w:rsid w:val="008B69D4"/>
    <w:rsid w:val="008B6F7E"/>
    <w:rsid w:val="008B7FC3"/>
    <w:rsid w:val="008C25CB"/>
    <w:rsid w:val="008C499A"/>
    <w:rsid w:val="008D09CA"/>
    <w:rsid w:val="008D0DAC"/>
    <w:rsid w:val="008D2E96"/>
    <w:rsid w:val="008E5DE4"/>
    <w:rsid w:val="008F2E04"/>
    <w:rsid w:val="008F5FEF"/>
    <w:rsid w:val="009307A7"/>
    <w:rsid w:val="00932EBC"/>
    <w:rsid w:val="0094173F"/>
    <w:rsid w:val="00941902"/>
    <w:rsid w:val="00942591"/>
    <w:rsid w:val="00946092"/>
    <w:rsid w:val="00947B54"/>
    <w:rsid w:val="00947D32"/>
    <w:rsid w:val="00952C1E"/>
    <w:rsid w:val="00952C30"/>
    <w:rsid w:val="009573D0"/>
    <w:rsid w:val="009614B8"/>
    <w:rsid w:val="009670B4"/>
    <w:rsid w:val="009731D3"/>
    <w:rsid w:val="00975551"/>
    <w:rsid w:val="009773F9"/>
    <w:rsid w:val="00977B0F"/>
    <w:rsid w:val="00980D56"/>
    <w:rsid w:val="009817F3"/>
    <w:rsid w:val="0099583D"/>
    <w:rsid w:val="009A42AB"/>
    <w:rsid w:val="009D785B"/>
    <w:rsid w:val="009E515B"/>
    <w:rsid w:val="009F381C"/>
    <w:rsid w:val="009F4BC2"/>
    <w:rsid w:val="00A00738"/>
    <w:rsid w:val="00A008E7"/>
    <w:rsid w:val="00A04213"/>
    <w:rsid w:val="00A04979"/>
    <w:rsid w:val="00A04BDB"/>
    <w:rsid w:val="00A052DD"/>
    <w:rsid w:val="00A06D9F"/>
    <w:rsid w:val="00A12A8E"/>
    <w:rsid w:val="00A17024"/>
    <w:rsid w:val="00A17DE7"/>
    <w:rsid w:val="00A32B9B"/>
    <w:rsid w:val="00A34B37"/>
    <w:rsid w:val="00A35DCB"/>
    <w:rsid w:val="00A43D7C"/>
    <w:rsid w:val="00A450A5"/>
    <w:rsid w:val="00A4537C"/>
    <w:rsid w:val="00A51F58"/>
    <w:rsid w:val="00A52972"/>
    <w:rsid w:val="00A53813"/>
    <w:rsid w:val="00A61D31"/>
    <w:rsid w:val="00A634C7"/>
    <w:rsid w:val="00A643BD"/>
    <w:rsid w:val="00A659A4"/>
    <w:rsid w:val="00A66C3B"/>
    <w:rsid w:val="00A67FEC"/>
    <w:rsid w:val="00A8157B"/>
    <w:rsid w:val="00A8201A"/>
    <w:rsid w:val="00A86674"/>
    <w:rsid w:val="00A8766F"/>
    <w:rsid w:val="00A9158D"/>
    <w:rsid w:val="00AA0200"/>
    <w:rsid w:val="00AA39C1"/>
    <w:rsid w:val="00AA3A53"/>
    <w:rsid w:val="00AB34F0"/>
    <w:rsid w:val="00AB6E56"/>
    <w:rsid w:val="00AE14AA"/>
    <w:rsid w:val="00AF21FA"/>
    <w:rsid w:val="00AF6466"/>
    <w:rsid w:val="00B04176"/>
    <w:rsid w:val="00B24DB3"/>
    <w:rsid w:val="00B254DC"/>
    <w:rsid w:val="00B35B10"/>
    <w:rsid w:val="00B36A10"/>
    <w:rsid w:val="00B50CF7"/>
    <w:rsid w:val="00B54A34"/>
    <w:rsid w:val="00B568F0"/>
    <w:rsid w:val="00B60A06"/>
    <w:rsid w:val="00B641EE"/>
    <w:rsid w:val="00B65D26"/>
    <w:rsid w:val="00B66B6C"/>
    <w:rsid w:val="00B72B51"/>
    <w:rsid w:val="00B72E02"/>
    <w:rsid w:val="00B74790"/>
    <w:rsid w:val="00B761C4"/>
    <w:rsid w:val="00B8555F"/>
    <w:rsid w:val="00BA666D"/>
    <w:rsid w:val="00BB07F3"/>
    <w:rsid w:val="00BC1172"/>
    <w:rsid w:val="00BD003B"/>
    <w:rsid w:val="00BF488F"/>
    <w:rsid w:val="00BF5A48"/>
    <w:rsid w:val="00BF5EF4"/>
    <w:rsid w:val="00BF60AE"/>
    <w:rsid w:val="00C00DEE"/>
    <w:rsid w:val="00C0425E"/>
    <w:rsid w:val="00C11483"/>
    <w:rsid w:val="00C12374"/>
    <w:rsid w:val="00C156B5"/>
    <w:rsid w:val="00C16C04"/>
    <w:rsid w:val="00C269B4"/>
    <w:rsid w:val="00C27296"/>
    <w:rsid w:val="00C30536"/>
    <w:rsid w:val="00C3057F"/>
    <w:rsid w:val="00C308E8"/>
    <w:rsid w:val="00C30F0E"/>
    <w:rsid w:val="00C33FC2"/>
    <w:rsid w:val="00C35F39"/>
    <w:rsid w:val="00C37C64"/>
    <w:rsid w:val="00C427F9"/>
    <w:rsid w:val="00C43074"/>
    <w:rsid w:val="00C43274"/>
    <w:rsid w:val="00C76B61"/>
    <w:rsid w:val="00C77FED"/>
    <w:rsid w:val="00C813F6"/>
    <w:rsid w:val="00C8611D"/>
    <w:rsid w:val="00C932FA"/>
    <w:rsid w:val="00C9605B"/>
    <w:rsid w:val="00C9701D"/>
    <w:rsid w:val="00CA25B4"/>
    <w:rsid w:val="00CA4AD0"/>
    <w:rsid w:val="00CA723A"/>
    <w:rsid w:val="00CB21A5"/>
    <w:rsid w:val="00CB3B68"/>
    <w:rsid w:val="00CB6533"/>
    <w:rsid w:val="00CC741F"/>
    <w:rsid w:val="00CD0976"/>
    <w:rsid w:val="00CD4EBB"/>
    <w:rsid w:val="00CF0896"/>
    <w:rsid w:val="00CF4798"/>
    <w:rsid w:val="00CF4942"/>
    <w:rsid w:val="00D00837"/>
    <w:rsid w:val="00D03B46"/>
    <w:rsid w:val="00D042EB"/>
    <w:rsid w:val="00D11140"/>
    <w:rsid w:val="00D2245E"/>
    <w:rsid w:val="00D279C5"/>
    <w:rsid w:val="00D30FA3"/>
    <w:rsid w:val="00D36CF3"/>
    <w:rsid w:val="00D42F70"/>
    <w:rsid w:val="00D56AEC"/>
    <w:rsid w:val="00D5743E"/>
    <w:rsid w:val="00D63B5E"/>
    <w:rsid w:val="00D672CF"/>
    <w:rsid w:val="00D82861"/>
    <w:rsid w:val="00D928B9"/>
    <w:rsid w:val="00D94069"/>
    <w:rsid w:val="00D94EF7"/>
    <w:rsid w:val="00D95679"/>
    <w:rsid w:val="00DA1F60"/>
    <w:rsid w:val="00DA5F2F"/>
    <w:rsid w:val="00DA6501"/>
    <w:rsid w:val="00DB1F0C"/>
    <w:rsid w:val="00DB46DB"/>
    <w:rsid w:val="00DC3DD0"/>
    <w:rsid w:val="00DD217F"/>
    <w:rsid w:val="00DD2A9B"/>
    <w:rsid w:val="00DD478E"/>
    <w:rsid w:val="00DE0535"/>
    <w:rsid w:val="00DE1378"/>
    <w:rsid w:val="00DF202B"/>
    <w:rsid w:val="00DF2E5E"/>
    <w:rsid w:val="00E159E8"/>
    <w:rsid w:val="00E179F4"/>
    <w:rsid w:val="00E31789"/>
    <w:rsid w:val="00E34AAC"/>
    <w:rsid w:val="00E37AB3"/>
    <w:rsid w:val="00E62E99"/>
    <w:rsid w:val="00E648B0"/>
    <w:rsid w:val="00E90154"/>
    <w:rsid w:val="00E91745"/>
    <w:rsid w:val="00E95308"/>
    <w:rsid w:val="00EA3B57"/>
    <w:rsid w:val="00EB15FC"/>
    <w:rsid w:val="00EB26E3"/>
    <w:rsid w:val="00EB2C70"/>
    <w:rsid w:val="00EC725E"/>
    <w:rsid w:val="00EF5B71"/>
    <w:rsid w:val="00F028B8"/>
    <w:rsid w:val="00F136F3"/>
    <w:rsid w:val="00F16097"/>
    <w:rsid w:val="00F166F6"/>
    <w:rsid w:val="00F26D23"/>
    <w:rsid w:val="00F34900"/>
    <w:rsid w:val="00F4154E"/>
    <w:rsid w:val="00F42DCD"/>
    <w:rsid w:val="00F42FCF"/>
    <w:rsid w:val="00F46856"/>
    <w:rsid w:val="00F47D13"/>
    <w:rsid w:val="00F542D0"/>
    <w:rsid w:val="00F57B0B"/>
    <w:rsid w:val="00F61D29"/>
    <w:rsid w:val="00F62693"/>
    <w:rsid w:val="00F62824"/>
    <w:rsid w:val="00F636C3"/>
    <w:rsid w:val="00F74259"/>
    <w:rsid w:val="00F74D78"/>
    <w:rsid w:val="00F7724D"/>
    <w:rsid w:val="00F80A93"/>
    <w:rsid w:val="00F84E73"/>
    <w:rsid w:val="00F87A7A"/>
    <w:rsid w:val="00F91C58"/>
    <w:rsid w:val="00F97746"/>
    <w:rsid w:val="00FA1309"/>
    <w:rsid w:val="00FA1F46"/>
    <w:rsid w:val="00FA2540"/>
    <w:rsid w:val="00FA3030"/>
    <w:rsid w:val="00FA3A9A"/>
    <w:rsid w:val="00FB4CF0"/>
    <w:rsid w:val="00FC1E65"/>
    <w:rsid w:val="00FC242C"/>
    <w:rsid w:val="00FD3992"/>
    <w:rsid w:val="00FD4955"/>
    <w:rsid w:val="00FD73A4"/>
    <w:rsid w:val="00FD7828"/>
    <w:rsid w:val="00FE26F2"/>
    <w:rsid w:val="00FE7756"/>
    <w:rsid w:val="00F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826D8"/>
  <w15:chartTrackingRefBased/>
  <w15:docId w15:val="{27C2DB87-0C51-4101-83F5-D108A80B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D9"/>
  </w:style>
  <w:style w:type="paragraph" w:styleId="Heading2">
    <w:name w:val="heading 2"/>
    <w:basedOn w:val="Normal"/>
    <w:next w:val="Normal"/>
    <w:link w:val="Heading2Char"/>
    <w:uiPriority w:val="9"/>
    <w:unhideWhenUsed/>
    <w:qFormat/>
    <w:rsid w:val="00145686"/>
    <w:pPr>
      <w:keepNext/>
      <w:keepLines/>
      <w:widowControl w:val="0"/>
      <w:spacing w:before="40" w:after="0" w:line="276" w:lineRule="auto"/>
      <w:outlineLvl w:val="1"/>
    </w:pPr>
    <w:rPr>
      <w:rFonts w:ascii="Arial Bold" w:eastAsiaTheme="majorEastAsia" w:hAnsi="Arial Bold" w:cstheme="majorBidi"/>
      <w:b/>
      <w:color w:val="000000" w:themeColor="text1"/>
      <w:sz w:val="24"/>
      <w:szCs w:val="26"/>
    </w:rPr>
  </w:style>
  <w:style w:type="paragraph" w:styleId="Heading6">
    <w:name w:val="heading 6"/>
    <w:basedOn w:val="Normal"/>
    <w:next w:val="Normal"/>
    <w:link w:val="Heading6Char"/>
    <w:uiPriority w:val="9"/>
    <w:semiHidden/>
    <w:unhideWhenUsed/>
    <w:qFormat/>
    <w:rsid w:val="00CA25B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E14AA"/>
    <w:rPr>
      <w:sz w:val="16"/>
      <w:szCs w:val="16"/>
    </w:rPr>
  </w:style>
  <w:style w:type="paragraph" w:styleId="CommentText">
    <w:name w:val="annotation text"/>
    <w:basedOn w:val="Normal"/>
    <w:link w:val="CommentTextChar"/>
    <w:uiPriority w:val="99"/>
    <w:unhideWhenUsed/>
    <w:rsid w:val="00AE14AA"/>
    <w:pPr>
      <w:spacing w:line="240" w:lineRule="auto"/>
    </w:pPr>
    <w:rPr>
      <w:sz w:val="20"/>
      <w:szCs w:val="20"/>
    </w:rPr>
  </w:style>
  <w:style w:type="character" w:customStyle="1" w:styleId="CommentTextChar">
    <w:name w:val="Comment Text Char"/>
    <w:basedOn w:val="DefaultParagraphFont"/>
    <w:link w:val="CommentText"/>
    <w:uiPriority w:val="99"/>
    <w:rsid w:val="00AE14AA"/>
    <w:rPr>
      <w:sz w:val="20"/>
      <w:szCs w:val="20"/>
    </w:rPr>
  </w:style>
  <w:style w:type="paragraph" w:styleId="CommentSubject">
    <w:name w:val="annotation subject"/>
    <w:basedOn w:val="CommentText"/>
    <w:next w:val="CommentText"/>
    <w:link w:val="CommentSubjectChar"/>
    <w:uiPriority w:val="99"/>
    <w:semiHidden/>
    <w:unhideWhenUsed/>
    <w:rsid w:val="00AE14AA"/>
    <w:rPr>
      <w:b/>
      <w:bCs/>
    </w:rPr>
  </w:style>
  <w:style w:type="character" w:customStyle="1" w:styleId="CommentSubjectChar">
    <w:name w:val="Comment Subject Char"/>
    <w:basedOn w:val="CommentTextChar"/>
    <w:link w:val="CommentSubject"/>
    <w:uiPriority w:val="99"/>
    <w:semiHidden/>
    <w:rsid w:val="00AE14AA"/>
    <w:rPr>
      <w:b/>
      <w:bCs/>
      <w:sz w:val="20"/>
      <w:szCs w:val="20"/>
    </w:rPr>
  </w:style>
  <w:style w:type="paragraph" w:styleId="ListParagraph">
    <w:name w:val="List Paragraph"/>
    <w:basedOn w:val="Normal"/>
    <w:uiPriority w:val="34"/>
    <w:qFormat/>
    <w:rsid w:val="00303EF9"/>
    <w:pPr>
      <w:ind w:left="720"/>
      <w:contextualSpacing/>
    </w:pPr>
  </w:style>
  <w:style w:type="character" w:styleId="Strong">
    <w:name w:val="Strong"/>
    <w:uiPriority w:val="22"/>
    <w:qFormat/>
    <w:rsid w:val="0035096C"/>
    <w:rPr>
      <w:b/>
      <w:bCs/>
    </w:rPr>
  </w:style>
  <w:style w:type="paragraph" w:customStyle="1" w:styleId="Default">
    <w:name w:val="Default"/>
    <w:rsid w:val="0031429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45686"/>
    <w:pPr>
      <w:widowControl w:val="0"/>
      <w:spacing w:after="0" w:line="240" w:lineRule="auto"/>
    </w:pPr>
  </w:style>
  <w:style w:type="character" w:customStyle="1" w:styleId="Heading2Char">
    <w:name w:val="Heading 2 Char"/>
    <w:basedOn w:val="DefaultParagraphFont"/>
    <w:link w:val="Heading2"/>
    <w:uiPriority w:val="9"/>
    <w:rsid w:val="00145686"/>
    <w:rPr>
      <w:rFonts w:ascii="Arial Bold" w:eastAsiaTheme="majorEastAsia" w:hAnsi="Arial Bold" w:cstheme="majorBidi"/>
      <w:b/>
      <w:color w:val="000000" w:themeColor="text1"/>
      <w:sz w:val="24"/>
      <w:szCs w:val="26"/>
    </w:rPr>
  </w:style>
  <w:style w:type="character" w:styleId="Hyperlink">
    <w:name w:val="Hyperlink"/>
    <w:basedOn w:val="DefaultParagraphFont"/>
    <w:uiPriority w:val="99"/>
    <w:unhideWhenUsed/>
    <w:rsid w:val="00CA25B4"/>
    <w:rPr>
      <w:color w:val="0563C1" w:themeColor="hyperlink"/>
      <w:u w:val="single"/>
    </w:rPr>
  </w:style>
  <w:style w:type="character" w:styleId="UnresolvedMention">
    <w:name w:val="Unresolved Mention"/>
    <w:basedOn w:val="DefaultParagraphFont"/>
    <w:uiPriority w:val="99"/>
    <w:semiHidden/>
    <w:unhideWhenUsed/>
    <w:rsid w:val="00CA25B4"/>
    <w:rPr>
      <w:color w:val="605E5C"/>
      <w:shd w:val="clear" w:color="auto" w:fill="E1DFDD"/>
    </w:rPr>
  </w:style>
  <w:style w:type="character" w:customStyle="1" w:styleId="Heading6Char">
    <w:name w:val="Heading 6 Char"/>
    <w:basedOn w:val="DefaultParagraphFont"/>
    <w:link w:val="Heading6"/>
    <w:uiPriority w:val="9"/>
    <w:semiHidden/>
    <w:rsid w:val="00CA25B4"/>
    <w:rPr>
      <w:rFonts w:asciiTheme="majorHAnsi" w:eastAsiaTheme="majorEastAsia" w:hAnsiTheme="majorHAnsi" w:cstheme="majorBidi"/>
      <w:color w:val="1F3763" w:themeColor="accent1" w:themeShade="7F"/>
    </w:rPr>
  </w:style>
  <w:style w:type="paragraph" w:customStyle="1" w:styleId="paragraph">
    <w:name w:val="paragraph"/>
    <w:basedOn w:val="Normal"/>
    <w:rsid w:val="00941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173F"/>
  </w:style>
  <w:style w:type="character" w:customStyle="1" w:styleId="eop">
    <w:name w:val="eop"/>
    <w:basedOn w:val="DefaultParagraphFont"/>
    <w:rsid w:val="0094173F"/>
  </w:style>
  <w:style w:type="character" w:customStyle="1" w:styleId="spellingerror">
    <w:name w:val="spellingerror"/>
    <w:basedOn w:val="DefaultParagraphFont"/>
    <w:rsid w:val="0094173F"/>
  </w:style>
  <w:style w:type="paragraph" w:customStyle="1" w:styleId="xmsonormal">
    <w:name w:val="x_msonormal"/>
    <w:basedOn w:val="Normal"/>
    <w:rsid w:val="00610662"/>
    <w:pPr>
      <w:spacing w:after="0" w:line="240" w:lineRule="auto"/>
    </w:pPr>
    <w:rPr>
      <w:rFonts w:ascii="Calibri" w:hAnsi="Calibri" w:cs="Calibri"/>
    </w:rPr>
  </w:style>
  <w:style w:type="paragraph" w:styleId="NormalWeb">
    <w:name w:val="Normal (Web)"/>
    <w:basedOn w:val="Normal"/>
    <w:uiPriority w:val="99"/>
    <w:semiHidden/>
    <w:unhideWhenUsed/>
    <w:rsid w:val="00C4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E95308"/>
  </w:style>
  <w:style w:type="character" w:customStyle="1" w:styleId="deltaxml-old">
    <w:name w:val="deltaxml-old"/>
    <w:basedOn w:val="DefaultParagraphFont"/>
    <w:rsid w:val="00942591"/>
  </w:style>
  <w:style w:type="character" w:customStyle="1" w:styleId="deltaxml-new">
    <w:name w:val="deltaxml-new"/>
    <w:basedOn w:val="DefaultParagraphFont"/>
    <w:rsid w:val="00942591"/>
  </w:style>
  <w:style w:type="character" w:customStyle="1" w:styleId="cf01">
    <w:name w:val="cf01"/>
    <w:basedOn w:val="DefaultParagraphFont"/>
    <w:rsid w:val="0077213F"/>
    <w:rPr>
      <w:rFonts w:ascii="Segoe UI" w:hAnsi="Segoe UI" w:cs="Segoe UI" w:hint="default"/>
      <w:sz w:val="18"/>
      <w:szCs w:val="18"/>
    </w:rPr>
  </w:style>
  <w:style w:type="character" w:customStyle="1" w:styleId="cf11">
    <w:name w:val="cf11"/>
    <w:basedOn w:val="DefaultParagraphFont"/>
    <w:rsid w:val="009614B8"/>
    <w:rPr>
      <w:rFonts w:ascii="Segoe UI" w:hAnsi="Segoe UI" w:cs="Segoe UI" w:hint="default"/>
      <w:b/>
      <w:bCs/>
      <w:sz w:val="18"/>
      <w:szCs w:val="18"/>
    </w:rPr>
  </w:style>
  <w:style w:type="paragraph" w:styleId="Revision">
    <w:name w:val="Revision"/>
    <w:hidden/>
    <w:uiPriority w:val="99"/>
    <w:semiHidden/>
    <w:rsid w:val="009614B8"/>
    <w:pPr>
      <w:spacing w:after="0" w:line="240" w:lineRule="auto"/>
    </w:pPr>
  </w:style>
  <w:style w:type="paragraph" w:customStyle="1" w:styleId="pf0">
    <w:name w:val="pf0"/>
    <w:basedOn w:val="Normal"/>
    <w:rsid w:val="001760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3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F3"/>
  </w:style>
  <w:style w:type="paragraph" w:styleId="Footer">
    <w:name w:val="footer"/>
    <w:basedOn w:val="Normal"/>
    <w:link w:val="FooterChar"/>
    <w:uiPriority w:val="99"/>
    <w:unhideWhenUsed/>
    <w:rsid w:val="00863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9686">
      <w:bodyDiv w:val="1"/>
      <w:marLeft w:val="0"/>
      <w:marRight w:val="0"/>
      <w:marTop w:val="0"/>
      <w:marBottom w:val="0"/>
      <w:divBdr>
        <w:top w:val="none" w:sz="0" w:space="0" w:color="auto"/>
        <w:left w:val="none" w:sz="0" w:space="0" w:color="auto"/>
        <w:bottom w:val="none" w:sz="0" w:space="0" w:color="auto"/>
        <w:right w:val="none" w:sz="0" w:space="0" w:color="auto"/>
      </w:divBdr>
      <w:divsChild>
        <w:div w:id="586352562">
          <w:marLeft w:val="0"/>
          <w:marRight w:val="0"/>
          <w:marTop w:val="0"/>
          <w:marBottom w:val="0"/>
          <w:divBdr>
            <w:top w:val="none" w:sz="0" w:space="0" w:color="auto"/>
            <w:left w:val="none" w:sz="0" w:space="0" w:color="auto"/>
            <w:bottom w:val="none" w:sz="0" w:space="0" w:color="auto"/>
            <w:right w:val="none" w:sz="0" w:space="0" w:color="auto"/>
          </w:divBdr>
          <w:divsChild>
            <w:div w:id="427577551">
              <w:marLeft w:val="0"/>
              <w:marRight w:val="0"/>
              <w:marTop w:val="0"/>
              <w:marBottom w:val="0"/>
              <w:divBdr>
                <w:top w:val="none" w:sz="0" w:space="0" w:color="auto"/>
                <w:left w:val="none" w:sz="0" w:space="0" w:color="auto"/>
                <w:bottom w:val="none" w:sz="0" w:space="0" w:color="auto"/>
                <w:right w:val="none" w:sz="0" w:space="0" w:color="auto"/>
              </w:divBdr>
              <w:divsChild>
                <w:div w:id="954795709">
                  <w:marLeft w:val="0"/>
                  <w:marRight w:val="0"/>
                  <w:marTop w:val="0"/>
                  <w:marBottom w:val="0"/>
                  <w:divBdr>
                    <w:top w:val="none" w:sz="0" w:space="0" w:color="auto"/>
                    <w:left w:val="none" w:sz="0" w:space="0" w:color="auto"/>
                    <w:bottom w:val="none" w:sz="0" w:space="0" w:color="auto"/>
                    <w:right w:val="none" w:sz="0" w:space="0" w:color="auto"/>
                  </w:divBdr>
                  <w:divsChild>
                    <w:div w:id="1284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3944">
          <w:marLeft w:val="0"/>
          <w:marRight w:val="0"/>
          <w:marTop w:val="0"/>
          <w:marBottom w:val="0"/>
          <w:divBdr>
            <w:top w:val="none" w:sz="0" w:space="0" w:color="auto"/>
            <w:left w:val="none" w:sz="0" w:space="0" w:color="auto"/>
            <w:bottom w:val="none" w:sz="0" w:space="0" w:color="auto"/>
            <w:right w:val="none" w:sz="0" w:space="0" w:color="auto"/>
          </w:divBdr>
          <w:divsChild>
            <w:div w:id="244340209">
              <w:marLeft w:val="0"/>
              <w:marRight w:val="0"/>
              <w:marTop w:val="0"/>
              <w:marBottom w:val="0"/>
              <w:divBdr>
                <w:top w:val="none" w:sz="0" w:space="0" w:color="auto"/>
                <w:left w:val="none" w:sz="0" w:space="0" w:color="auto"/>
                <w:bottom w:val="none" w:sz="0" w:space="0" w:color="auto"/>
                <w:right w:val="none" w:sz="0" w:space="0" w:color="auto"/>
              </w:divBdr>
              <w:divsChild>
                <w:div w:id="9441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377">
      <w:bodyDiv w:val="1"/>
      <w:marLeft w:val="0"/>
      <w:marRight w:val="0"/>
      <w:marTop w:val="0"/>
      <w:marBottom w:val="0"/>
      <w:divBdr>
        <w:top w:val="none" w:sz="0" w:space="0" w:color="auto"/>
        <w:left w:val="none" w:sz="0" w:space="0" w:color="auto"/>
        <w:bottom w:val="none" w:sz="0" w:space="0" w:color="auto"/>
        <w:right w:val="none" w:sz="0" w:space="0" w:color="auto"/>
      </w:divBdr>
    </w:div>
    <w:div w:id="176121674">
      <w:bodyDiv w:val="1"/>
      <w:marLeft w:val="0"/>
      <w:marRight w:val="0"/>
      <w:marTop w:val="0"/>
      <w:marBottom w:val="0"/>
      <w:divBdr>
        <w:top w:val="none" w:sz="0" w:space="0" w:color="auto"/>
        <w:left w:val="none" w:sz="0" w:space="0" w:color="auto"/>
        <w:bottom w:val="none" w:sz="0" w:space="0" w:color="auto"/>
        <w:right w:val="none" w:sz="0" w:space="0" w:color="auto"/>
      </w:divBdr>
    </w:div>
    <w:div w:id="245572652">
      <w:bodyDiv w:val="1"/>
      <w:marLeft w:val="0"/>
      <w:marRight w:val="0"/>
      <w:marTop w:val="0"/>
      <w:marBottom w:val="0"/>
      <w:divBdr>
        <w:top w:val="none" w:sz="0" w:space="0" w:color="auto"/>
        <w:left w:val="none" w:sz="0" w:space="0" w:color="auto"/>
        <w:bottom w:val="none" w:sz="0" w:space="0" w:color="auto"/>
        <w:right w:val="none" w:sz="0" w:space="0" w:color="auto"/>
      </w:divBdr>
    </w:div>
    <w:div w:id="275257469">
      <w:bodyDiv w:val="1"/>
      <w:marLeft w:val="0"/>
      <w:marRight w:val="0"/>
      <w:marTop w:val="0"/>
      <w:marBottom w:val="0"/>
      <w:divBdr>
        <w:top w:val="none" w:sz="0" w:space="0" w:color="auto"/>
        <w:left w:val="none" w:sz="0" w:space="0" w:color="auto"/>
        <w:bottom w:val="none" w:sz="0" w:space="0" w:color="auto"/>
        <w:right w:val="none" w:sz="0" w:space="0" w:color="auto"/>
      </w:divBdr>
    </w:div>
    <w:div w:id="331951821">
      <w:bodyDiv w:val="1"/>
      <w:marLeft w:val="0"/>
      <w:marRight w:val="0"/>
      <w:marTop w:val="0"/>
      <w:marBottom w:val="0"/>
      <w:divBdr>
        <w:top w:val="none" w:sz="0" w:space="0" w:color="auto"/>
        <w:left w:val="none" w:sz="0" w:space="0" w:color="auto"/>
        <w:bottom w:val="none" w:sz="0" w:space="0" w:color="auto"/>
        <w:right w:val="none" w:sz="0" w:space="0" w:color="auto"/>
      </w:divBdr>
    </w:div>
    <w:div w:id="403185830">
      <w:bodyDiv w:val="1"/>
      <w:marLeft w:val="0"/>
      <w:marRight w:val="0"/>
      <w:marTop w:val="0"/>
      <w:marBottom w:val="0"/>
      <w:divBdr>
        <w:top w:val="none" w:sz="0" w:space="0" w:color="auto"/>
        <w:left w:val="none" w:sz="0" w:space="0" w:color="auto"/>
        <w:bottom w:val="none" w:sz="0" w:space="0" w:color="auto"/>
        <w:right w:val="none" w:sz="0" w:space="0" w:color="auto"/>
      </w:divBdr>
    </w:div>
    <w:div w:id="427308718">
      <w:bodyDiv w:val="1"/>
      <w:marLeft w:val="0"/>
      <w:marRight w:val="0"/>
      <w:marTop w:val="0"/>
      <w:marBottom w:val="0"/>
      <w:divBdr>
        <w:top w:val="none" w:sz="0" w:space="0" w:color="auto"/>
        <w:left w:val="none" w:sz="0" w:space="0" w:color="auto"/>
        <w:bottom w:val="none" w:sz="0" w:space="0" w:color="auto"/>
        <w:right w:val="none" w:sz="0" w:space="0" w:color="auto"/>
      </w:divBdr>
      <w:divsChild>
        <w:div w:id="1847357592">
          <w:marLeft w:val="0"/>
          <w:marRight w:val="0"/>
          <w:marTop w:val="0"/>
          <w:marBottom w:val="0"/>
          <w:divBdr>
            <w:top w:val="none" w:sz="0" w:space="0" w:color="auto"/>
            <w:left w:val="none" w:sz="0" w:space="0" w:color="auto"/>
            <w:bottom w:val="none" w:sz="0" w:space="0" w:color="auto"/>
            <w:right w:val="none" w:sz="0" w:space="0" w:color="auto"/>
          </w:divBdr>
          <w:divsChild>
            <w:div w:id="1965454183">
              <w:marLeft w:val="0"/>
              <w:marRight w:val="0"/>
              <w:marTop w:val="0"/>
              <w:marBottom w:val="0"/>
              <w:divBdr>
                <w:top w:val="none" w:sz="0" w:space="0" w:color="auto"/>
                <w:left w:val="none" w:sz="0" w:space="0" w:color="auto"/>
                <w:bottom w:val="none" w:sz="0" w:space="0" w:color="auto"/>
                <w:right w:val="none" w:sz="0" w:space="0" w:color="auto"/>
              </w:divBdr>
              <w:divsChild>
                <w:div w:id="2120176232">
                  <w:marLeft w:val="0"/>
                  <w:marRight w:val="0"/>
                  <w:marTop w:val="0"/>
                  <w:marBottom w:val="0"/>
                  <w:divBdr>
                    <w:top w:val="none" w:sz="0" w:space="0" w:color="auto"/>
                    <w:left w:val="none" w:sz="0" w:space="0" w:color="auto"/>
                    <w:bottom w:val="none" w:sz="0" w:space="0" w:color="auto"/>
                    <w:right w:val="none" w:sz="0" w:space="0" w:color="auto"/>
                  </w:divBdr>
                  <w:divsChild>
                    <w:div w:id="19099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056">
          <w:marLeft w:val="0"/>
          <w:marRight w:val="0"/>
          <w:marTop w:val="0"/>
          <w:marBottom w:val="0"/>
          <w:divBdr>
            <w:top w:val="none" w:sz="0" w:space="0" w:color="auto"/>
            <w:left w:val="none" w:sz="0" w:space="0" w:color="auto"/>
            <w:bottom w:val="none" w:sz="0" w:space="0" w:color="auto"/>
            <w:right w:val="none" w:sz="0" w:space="0" w:color="auto"/>
          </w:divBdr>
          <w:divsChild>
            <w:div w:id="1685861551">
              <w:marLeft w:val="0"/>
              <w:marRight w:val="0"/>
              <w:marTop w:val="0"/>
              <w:marBottom w:val="0"/>
              <w:divBdr>
                <w:top w:val="none" w:sz="0" w:space="0" w:color="auto"/>
                <w:left w:val="none" w:sz="0" w:space="0" w:color="auto"/>
                <w:bottom w:val="none" w:sz="0" w:space="0" w:color="auto"/>
                <w:right w:val="none" w:sz="0" w:space="0" w:color="auto"/>
              </w:divBdr>
              <w:divsChild>
                <w:div w:id="6760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103">
          <w:marLeft w:val="0"/>
          <w:marRight w:val="0"/>
          <w:marTop w:val="0"/>
          <w:marBottom w:val="0"/>
          <w:divBdr>
            <w:top w:val="none" w:sz="0" w:space="0" w:color="auto"/>
            <w:left w:val="none" w:sz="0" w:space="0" w:color="auto"/>
            <w:bottom w:val="none" w:sz="0" w:space="0" w:color="auto"/>
            <w:right w:val="none" w:sz="0" w:space="0" w:color="auto"/>
          </w:divBdr>
          <w:divsChild>
            <w:div w:id="1304775587">
              <w:marLeft w:val="0"/>
              <w:marRight w:val="0"/>
              <w:marTop w:val="0"/>
              <w:marBottom w:val="0"/>
              <w:divBdr>
                <w:top w:val="none" w:sz="0" w:space="0" w:color="auto"/>
                <w:left w:val="none" w:sz="0" w:space="0" w:color="auto"/>
                <w:bottom w:val="none" w:sz="0" w:space="0" w:color="auto"/>
                <w:right w:val="none" w:sz="0" w:space="0" w:color="auto"/>
              </w:divBdr>
              <w:divsChild>
                <w:div w:id="3644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1784">
          <w:marLeft w:val="0"/>
          <w:marRight w:val="0"/>
          <w:marTop w:val="0"/>
          <w:marBottom w:val="0"/>
          <w:divBdr>
            <w:top w:val="none" w:sz="0" w:space="0" w:color="auto"/>
            <w:left w:val="none" w:sz="0" w:space="0" w:color="auto"/>
            <w:bottom w:val="none" w:sz="0" w:space="0" w:color="auto"/>
            <w:right w:val="none" w:sz="0" w:space="0" w:color="auto"/>
          </w:divBdr>
          <w:divsChild>
            <w:div w:id="91931">
              <w:marLeft w:val="0"/>
              <w:marRight w:val="0"/>
              <w:marTop w:val="0"/>
              <w:marBottom w:val="0"/>
              <w:divBdr>
                <w:top w:val="none" w:sz="0" w:space="0" w:color="auto"/>
                <w:left w:val="none" w:sz="0" w:space="0" w:color="auto"/>
                <w:bottom w:val="none" w:sz="0" w:space="0" w:color="auto"/>
                <w:right w:val="none" w:sz="0" w:space="0" w:color="auto"/>
              </w:divBdr>
              <w:divsChild>
                <w:div w:id="2285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41666">
      <w:bodyDiv w:val="1"/>
      <w:marLeft w:val="0"/>
      <w:marRight w:val="0"/>
      <w:marTop w:val="0"/>
      <w:marBottom w:val="0"/>
      <w:divBdr>
        <w:top w:val="none" w:sz="0" w:space="0" w:color="auto"/>
        <w:left w:val="none" w:sz="0" w:space="0" w:color="auto"/>
        <w:bottom w:val="none" w:sz="0" w:space="0" w:color="auto"/>
        <w:right w:val="none" w:sz="0" w:space="0" w:color="auto"/>
      </w:divBdr>
    </w:div>
    <w:div w:id="468942390">
      <w:bodyDiv w:val="1"/>
      <w:marLeft w:val="0"/>
      <w:marRight w:val="0"/>
      <w:marTop w:val="0"/>
      <w:marBottom w:val="0"/>
      <w:divBdr>
        <w:top w:val="none" w:sz="0" w:space="0" w:color="auto"/>
        <w:left w:val="none" w:sz="0" w:space="0" w:color="auto"/>
        <w:bottom w:val="none" w:sz="0" w:space="0" w:color="auto"/>
        <w:right w:val="none" w:sz="0" w:space="0" w:color="auto"/>
      </w:divBdr>
    </w:div>
    <w:div w:id="763384666">
      <w:bodyDiv w:val="1"/>
      <w:marLeft w:val="0"/>
      <w:marRight w:val="0"/>
      <w:marTop w:val="0"/>
      <w:marBottom w:val="0"/>
      <w:divBdr>
        <w:top w:val="none" w:sz="0" w:space="0" w:color="auto"/>
        <w:left w:val="none" w:sz="0" w:space="0" w:color="auto"/>
        <w:bottom w:val="none" w:sz="0" w:space="0" w:color="auto"/>
        <w:right w:val="none" w:sz="0" w:space="0" w:color="auto"/>
      </w:divBdr>
    </w:div>
    <w:div w:id="785782166">
      <w:bodyDiv w:val="1"/>
      <w:marLeft w:val="0"/>
      <w:marRight w:val="0"/>
      <w:marTop w:val="0"/>
      <w:marBottom w:val="0"/>
      <w:divBdr>
        <w:top w:val="none" w:sz="0" w:space="0" w:color="auto"/>
        <w:left w:val="none" w:sz="0" w:space="0" w:color="auto"/>
        <w:bottom w:val="none" w:sz="0" w:space="0" w:color="auto"/>
        <w:right w:val="none" w:sz="0" w:space="0" w:color="auto"/>
      </w:divBdr>
    </w:div>
    <w:div w:id="1196967399">
      <w:bodyDiv w:val="1"/>
      <w:marLeft w:val="0"/>
      <w:marRight w:val="0"/>
      <w:marTop w:val="0"/>
      <w:marBottom w:val="0"/>
      <w:divBdr>
        <w:top w:val="none" w:sz="0" w:space="0" w:color="auto"/>
        <w:left w:val="none" w:sz="0" w:space="0" w:color="auto"/>
        <w:bottom w:val="none" w:sz="0" w:space="0" w:color="auto"/>
        <w:right w:val="none" w:sz="0" w:space="0" w:color="auto"/>
      </w:divBdr>
    </w:div>
    <w:div w:id="1230262265">
      <w:bodyDiv w:val="1"/>
      <w:marLeft w:val="0"/>
      <w:marRight w:val="0"/>
      <w:marTop w:val="0"/>
      <w:marBottom w:val="0"/>
      <w:divBdr>
        <w:top w:val="none" w:sz="0" w:space="0" w:color="auto"/>
        <w:left w:val="none" w:sz="0" w:space="0" w:color="auto"/>
        <w:bottom w:val="none" w:sz="0" w:space="0" w:color="auto"/>
        <w:right w:val="none" w:sz="0" w:space="0" w:color="auto"/>
      </w:divBdr>
    </w:div>
    <w:div w:id="1233352407">
      <w:bodyDiv w:val="1"/>
      <w:marLeft w:val="0"/>
      <w:marRight w:val="0"/>
      <w:marTop w:val="0"/>
      <w:marBottom w:val="0"/>
      <w:divBdr>
        <w:top w:val="none" w:sz="0" w:space="0" w:color="auto"/>
        <w:left w:val="none" w:sz="0" w:space="0" w:color="auto"/>
        <w:bottom w:val="none" w:sz="0" w:space="0" w:color="auto"/>
        <w:right w:val="none" w:sz="0" w:space="0" w:color="auto"/>
      </w:divBdr>
    </w:div>
    <w:div w:id="1254901070">
      <w:bodyDiv w:val="1"/>
      <w:marLeft w:val="0"/>
      <w:marRight w:val="0"/>
      <w:marTop w:val="0"/>
      <w:marBottom w:val="0"/>
      <w:divBdr>
        <w:top w:val="none" w:sz="0" w:space="0" w:color="auto"/>
        <w:left w:val="none" w:sz="0" w:space="0" w:color="auto"/>
        <w:bottom w:val="none" w:sz="0" w:space="0" w:color="auto"/>
        <w:right w:val="none" w:sz="0" w:space="0" w:color="auto"/>
      </w:divBdr>
      <w:divsChild>
        <w:div w:id="1692490644">
          <w:marLeft w:val="0"/>
          <w:marRight w:val="0"/>
          <w:marTop w:val="0"/>
          <w:marBottom w:val="240"/>
          <w:divBdr>
            <w:top w:val="none" w:sz="0" w:space="0" w:color="auto"/>
            <w:left w:val="none" w:sz="0" w:space="0" w:color="auto"/>
            <w:bottom w:val="none" w:sz="0" w:space="0" w:color="auto"/>
            <w:right w:val="none" w:sz="0" w:space="0" w:color="auto"/>
          </w:divBdr>
        </w:div>
        <w:div w:id="1775707708">
          <w:marLeft w:val="0"/>
          <w:marRight w:val="0"/>
          <w:marTop w:val="0"/>
          <w:marBottom w:val="240"/>
          <w:divBdr>
            <w:top w:val="none" w:sz="0" w:space="0" w:color="auto"/>
            <w:left w:val="none" w:sz="0" w:space="0" w:color="auto"/>
            <w:bottom w:val="none" w:sz="0" w:space="0" w:color="auto"/>
            <w:right w:val="none" w:sz="0" w:space="0" w:color="auto"/>
          </w:divBdr>
        </w:div>
        <w:div w:id="1675494157">
          <w:marLeft w:val="0"/>
          <w:marRight w:val="0"/>
          <w:marTop w:val="0"/>
          <w:marBottom w:val="240"/>
          <w:divBdr>
            <w:top w:val="none" w:sz="0" w:space="0" w:color="auto"/>
            <w:left w:val="none" w:sz="0" w:space="0" w:color="auto"/>
            <w:bottom w:val="none" w:sz="0" w:space="0" w:color="auto"/>
            <w:right w:val="none" w:sz="0" w:space="0" w:color="auto"/>
          </w:divBdr>
        </w:div>
        <w:div w:id="248123241">
          <w:marLeft w:val="0"/>
          <w:marRight w:val="0"/>
          <w:marTop w:val="0"/>
          <w:marBottom w:val="240"/>
          <w:divBdr>
            <w:top w:val="none" w:sz="0" w:space="0" w:color="auto"/>
            <w:left w:val="none" w:sz="0" w:space="0" w:color="auto"/>
            <w:bottom w:val="none" w:sz="0" w:space="0" w:color="auto"/>
            <w:right w:val="none" w:sz="0" w:space="0" w:color="auto"/>
          </w:divBdr>
        </w:div>
      </w:divsChild>
    </w:div>
    <w:div w:id="1268580859">
      <w:bodyDiv w:val="1"/>
      <w:marLeft w:val="0"/>
      <w:marRight w:val="0"/>
      <w:marTop w:val="0"/>
      <w:marBottom w:val="0"/>
      <w:divBdr>
        <w:top w:val="none" w:sz="0" w:space="0" w:color="auto"/>
        <w:left w:val="none" w:sz="0" w:space="0" w:color="auto"/>
        <w:bottom w:val="none" w:sz="0" w:space="0" w:color="auto"/>
        <w:right w:val="none" w:sz="0" w:space="0" w:color="auto"/>
      </w:divBdr>
    </w:div>
    <w:div w:id="1298950805">
      <w:bodyDiv w:val="1"/>
      <w:marLeft w:val="0"/>
      <w:marRight w:val="0"/>
      <w:marTop w:val="0"/>
      <w:marBottom w:val="0"/>
      <w:divBdr>
        <w:top w:val="none" w:sz="0" w:space="0" w:color="auto"/>
        <w:left w:val="none" w:sz="0" w:space="0" w:color="auto"/>
        <w:bottom w:val="none" w:sz="0" w:space="0" w:color="auto"/>
        <w:right w:val="none" w:sz="0" w:space="0" w:color="auto"/>
      </w:divBdr>
    </w:div>
    <w:div w:id="1306206850">
      <w:bodyDiv w:val="1"/>
      <w:marLeft w:val="0"/>
      <w:marRight w:val="0"/>
      <w:marTop w:val="0"/>
      <w:marBottom w:val="0"/>
      <w:divBdr>
        <w:top w:val="none" w:sz="0" w:space="0" w:color="auto"/>
        <w:left w:val="none" w:sz="0" w:space="0" w:color="auto"/>
        <w:bottom w:val="none" w:sz="0" w:space="0" w:color="auto"/>
        <w:right w:val="none" w:sz="0" w:space="0" w:color="auto"/>
      </w:divBdr>
    </w:div>
    <w:div w:id="1493645141">
      <w:bodyDiv w:val="1"/>
      <w:marLeft w:val="0"/>
      <w:marRight w:val="0"/>
      <w:marTop w:val="0"/>
      <w:marBottom w:val="0"/>
      <w:divBdr>
        <w:top w:val="none" w:sz="0" w:space="0" w:color="auto"/>
        <w:left w:val="none" w:sz="0" w:space="0" w:color="auto"/>
        <w:bottom w:val="none" w:sz="0" w:space="0" w:color="auto"/>
        <w:right w:val="none" w:sz="0" w:space="0" w:color="auto"/>
      </w:divBdr>
    </w:div>
    <w:div w:id="1519733644">
      <w:bodyDiv w:val="1"/>
      <w:marLeft w:val="0"/>
      <w:marRight w:val="0"/>
      <w:marTop w:val="0"/>
      <w:marBottom w:val="0"/>
      <w:divBdr>
        <w:top w:val="none" w:sz="0" w:space="0" w:color="auto"/>
        <w:left w:val="none" w:sz="0" w:space="0" w:color="auto"/>
        <w:bottom w:val="none" w:sz="0" w:space="0" w:color="auto"/>
        <w:right w:val="none" w:sz="0" w:space="0" w:color="auto"/>
      </w:divBdr>
    </w:div>
    <w:div w:id="1533566153">
      <w:bodyDiv w:val="1"/>
      <w:marLeft w:val="0"/>
      <w:marRight w:val="0"/>
      <w:marTop w:val="0"/>
      <w:marBottom w:val="0"/>
      <w:divBdr>
        <w:top w:val="none" w:sz="0" w:space="0" w:color="auto"/>
        <w:left w:val="none" w:sz="0" w:space="0" w:color="auto"/>
        <w:bottom w:val="none" w:sz="0" w:space="0" w:color="auto"/>
        <w:right w:val="none" w:sz="0" w:space="0" w:color="auto"/>
      </w:divBdr>
    </w:div>
    <w:div w:id="1554540888">
      <w:bodyDiv w:val="1"/>
      <w:marLeft w:val="0"/>
      <w:marRight w:val="0"/>
      <w:marTop w:val="0"/>
      <w:marBottom w:val="0"/>
      <w:divBdr>
        <w:top w:val="none" w:sz="0" w:space="0" w:color="auto"/>
        <w:left w:val="none" w:sz="0" w:space="0" w:color="auto"/>
        <w:bottom w:val="none" w:sz="0" w:space="0" w:color="auto"/>
        <w:right w:val="none" w:sz="0" w:space="0" w:color="auto"/>
      </w:divBdr>
    </w:div>
    <w:div w:id="1558011279">
      <w:bodyDiv w:val="1"/>
      <w:marLeft w:val="0"/>
      <w:marRight w:val="0"/>
      <w:marTop w:val="0"/>
      <w:marBottom w:val="0"/>
      <w:divBdr>
        <w:top w:val="none" w:sz="0" w:space="0" w:color="auto"/>
        <w:left w:val="none" w:sz="0" w:space="0" w:color="auto"/>
        <w:bottom w:val="none" w:sz="0" w:space="0" w:color="auto"/>
        <w:right w:val="none" w:sz="0" w:space="0" w:color="auto"/>
      </w:divBdr>
    </w:div>
    <w:div w:id="1561819080">
      <w:bodyDiv w:val="1"/>
      <w:marLeft w:val="0"/>
      <w:marRight w:val="0"/>
      <w:marTop w:val="0"/>
      <w:marBottom w:val="0"/>
      <w:divBdr>
        <w:top w:val="none" w:sz="0" w:space="0" w:color="auto"/>
        <w:left w:val="none" w:sz="0" w:space="0" w:color="auto"/>
        <w:bottom w:val="none" w:sz="0" w:space="0" w:color="auto"/>
        <w:right w:val="none" w:sz="0" w:space="0" w:color="auto"/>
      </w:divBdr>
    </w:div>
    <w:div w:id="1589538542">
      <w:bodyDiv w:val="1"/>
      <w:marLeft w:val="0"/>
      <w:marRight w:val="0"/>
      <w:marTop w:val="0"/>
      <w:marBottom w:val="0"/>
      <w:divBdr>
        <w:top w:val="none" w:sz="0" w:space="0" w:color="auto"/>
        <w:left w:val="none" w:sz="0" w:space="0" w:color="auto"/>
        <w:bottom w:val="none" w:sz="0" w:space="0" w:color="auto"/>
        <w:right w:val="none" w:sz="0" w:space="0" w:color="auto"/>
      </w:divBdr>
    </w:div>
    <w:div w:id="1858032148">
      <w:bodyDiv w:val="1"/>
      <w:marLeft w:val="0"/>
      <w:marRight w:val="0"/>
      <w:marTop w:val="0"/>
      <w:marBottom w:val="0"/>
      <w:divBdr>
        <w:top w:val="none" w:sz="0" w:space="0" w:color="auto"/>
        <w:left w:val="none" w:sz="0" w:space="0" w:color="auto"/>
        <w:bottom w:val="none" w:sz="0" w:space="0" w:color="auto"/>
        <w:right w:val="none" w:sz="0" w:space="0" w:color="auto"/>
      </w:divBdr>
    </w:div>
    <w:div w:id="2026207802">
      <w:bodyDiv w:val="1"/>
      <w:marLeft w:val="0"/>
      <w:marRight w:val="0"/>
      <w:marTop w:val="0"/>
      <w:marBottom w:val="0"/>
      <w:divBdr>
        <w:top w:val="none" w:sz="0" w:space="0" w:color="auto"/>
        <w:left w:val="none" w:sz="0" w:space="0" w:color="auto"/>
        <w:bottom w:val="none" w:sz="0" w:space="0" w:color="auto"/>
        <w:right w:val="none" w:sz="0" w:space="0" w:color="auto"/>
      </w:divBdr>
    </w:div>
    <w:div w:id="2041274293">
      <w:bodyDiv w:val="1"/>
      <w:marLeft w:val="0"/>
      <w:marRight w:val="0"/>
      <w:marTop w:val="0"/>
      <w:marBottom w:val="0"/>
      <w:divBdr>
        <w:top w:val="none" w:sz="0" w:space="0" w:color="auto"/>
        <w:left w:val="none" w:sz="0" w:space="0" w:color="auto"/>
        <w:bottom w:val="none" w:sz="0" w:space="0" w:color="auto"/>
        <w:right w:val="none" w:sz="0" w:space="0" w:color="auto"/>
      </w:divBdr>
    </w:div>
    <w:div w:id="20834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m.fire.ca.gov/divisions/code-development-and-analysis/information-bulletins/" TargetMode="External"/><Relationship Id="rId13" Type="http://schemas.openxmlformats.org/officeDocument/2006/relationships/hyperlink" Target="https://leginfo.legislature.ca.gov/faces/codes_displaySection.xhtml?lawCode=HSC&amp;sectionNum=25270.2." TargetMode="External"/><Relationship Id="rId18" Type="http://schemas.openxmlformats.org/officeDocument/2006/relationships/hyperlink" Target="https://leginfo.legislature.ca.gov/faces/codes_displaySection.xhtml?lawCode=HSC&amp;sectionNum=25270.4." TargetMode="External"/><Relationship Id="rId26" Type="http://schemas.openxmlformats.org/officeDocument/2006/relationships/hyperlink" Target="https://leginfo.legislature.ca.gov/faces/codes_displaySection.xhtml?lawCode=HSC&amp;sectionNum=25270.5." TargetMode="External"/><Relationship Id="rId3" Type="http://schemas.openxmlformats.org/officeDocument/2006/relationships/styles" Target="styles.xml"/><Relationship Id="rId21" Type="http://schemas.openxmlformats.org/officeDocument/2006/relationships/hyperlink" Target="https://leginfo.legislature.ca.gov/faces/codes_displaySection.xhtml?lawCode=HSC&amp;sectionNum=25270.4.5." TargetMode="External"/><Relationship Id="rId7" Type="http://schemas.openxmlformats.org/officeDocument/2006/relationships/endnotes" Target="endnotes.xml"/><Relationship Id="rId12" Type="http://schemas.openxmlformats.org/officeDocument/2006/relationships/hyperlink" Target="https://leginfo.legislature.ca.gov/faces/codes_displaySection.xhtml?lawCode=HSC&amp;sectionNum=25270.2." TargetMode="External"/><Relationship Id="rId17" Type="http://schemas.openxmlformats.org/officeDocument/2006/relationships/hyperlink" Target="https://leginfo.legislature.ca.gov/faces/codes_displaySection.xhtml?lawCode=HSC&amp;sectionNum=25270.2." TargetMode="External"/><Relationship Id="rId25" Type="http://schemas.openxmlformats.org/officeDocument/2006/relationships/hyperlink" Target="https://leginfo.legislature.ca.gov/faces/codes_displaySection.xhtml?lawCode=HSC&amp;sectionNum=25270.5." TargetMode="External"/><Relationship Id="rId2" Type="http://schemas.openxmlformats.org/officeDocument/2006/relationships/numbering" Target="numbering.xml"/><Relationship Id="rId16" Type="http://schemas.openxmlformats.org/officeDocument/2006/relationships/hyperlink" Target="https://leginfo.legislature.ca.gov/faces/codes_displaySection.xhtml?lawCode=HSC&amp;sectionNum=25270.2." TargetMode="External"/><Relationship Id="rId20" Type="http://schemas.openxmlformats.org/officeDocument/2006/relationships/hyperlink" Target="https://leginfo.legislature.ca.gov/faces/codes_displaySection.xhtml?lawCode=HSC&amp;sectionNum=25270.4.5." TargetMode="External"/><Relationship Id="rId29" Type="http://schemas.openxmlformats.org/officeDocument/2006/relationships/hyperlink" Target="https://leginfo.legislature.ca.gov/faces/codes_displaySection.xhtml?lawCode=HSC&amp;sectionNum=2527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HSC&amp;sectionNum=25270.2." TargetMode="External"/><Relationship Id="rId24" Type="http://schemas.openxmlformats.org/officeDocument/2006/relationships/hyperlink" Target="https://leginfo.legislature.ca.gov/faces/codes_displaySection.xhtml?lawCode=HSC&amp;sectionNum=25270.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info.legislature.ca.gov/faces/codes_displaySection.xhtml?lawCode=HSC&amp;sectionNum=25270.2." TargetMode="External"/><Relationship Id="rId23" Type="http://schemas.openxmlformats.org/officeDocument/2006/relationships/hyperlink" Target="https://leginfo.legislature.ca.gov/faces/codes_displaySection.xhtml?lawCode=HSC&amp;sectionNum=25270.4.5." TargetMode="External"/><Relationship Id="rId28" Type="http://schemas.openxmlformats.org/officeDocument/2006/relationships/hyperlink" Target="https://leginfo.legislature.ca.gov/faces/codes_displaySection.xhtml?lawCode=HSC&amp;sectionNum=25270.9." TargetMode="External"/><Relationship Id="rId10" Type="http://schemas.openxmlformats.org/officeDocument/2006/relationships/hyperlink" Target="https://www.epa.gov/enforcement/civil-penalty-policy-section-311b3-and-section-311j-clean-water-act-cwa-august-1998" TargetMode="External"/><Relationship Id="rId19" Type="http://schemas.openxmlformats.org/officeDocument/2006/relationships/hyperlink" Target="https://leginfo.legislature.ca.gov/faces/codes_displaySection.xhtml?lawCode=HSC&amp;sectionNum=25270.4.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fm.fire.ca.gov/boards-committees/aboveground-petroleum-storage-act-apsa-advisory-committee/" TargetMode="External"/><Relationship Id="rId14" Type="http://schemas.openxmlformats.org/officeDocument/2006/relationships/hyperlink" Target="https://leginfo.legislature.ca.gov/faces/codes_displaySection.xhtml?lawCode=HSC&amp;sectionNum=25270.2." TargetMode="External"/><Relationship Id="rId22" Type="http://schemas.openxmlformats.org/officeDocument/2006/relationships/hyperlink" Target="https://leginfo.legislature.ca.gov/faces/codes_displaySection.xhtml?lawCode=HSC&amp;sectionNum=25270.4.5." TargetMode="External"/><Relationship Id="rId27" Type="http://schemas.openxmlformats.org/officeDocument/2006/relationships/hyperlink" Target="https://leginfo.legislature.ca.gov/faces/codes_displaySection.xhtml?lawCode=HSC&amp;sectionNum=25270.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B8B0-36AC-4308-A0A3-8DB00606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15</Pages>
  <Words>5468</Words>
  <Characters>31171</Characters>
  <Application>Microsoft Office Word</Application>
  <DocSecurity>8</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Eireann@CALFIRE</dc:creator>
  <cp:keywords/>
  <dc:description/>
  <cp:lastModifiedBy>Lorenzo, Jennifer@CALFIRE</cp:lastModifiedBy>
  <cp:revision>33</cp:revision>
  <cp:lastPrinted>2023-05-24T23:12:00Z</cp:lastPrinted>
  <dcterms:created xsi:type="dcterms:W3CDTF">2023-05-30T21:19:00Z</dcterms:created>
  <dcterms:modified xsi:type="dcterms:W3CDTF">2023-07-14T20:26:00Z</dcterms:modified>
</cp:coreProperties>
</file>